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AE74" w14:textId="0FC2FD7D" w:rsidR="00F00A98" w:rsidRPr="000041A9" w:rsidRDefault="00E838AF" w:rsidP="008D0BA6">
      <w:pPr>
        <w:pStyle w:val="Title"/>
        <w:rPr>
          <w:color w:val="auto"/>
          <w:sz w:val="44"/>
          <w:szCs w:val="52"/>
        </w:rPr>
      </w:pPr>
      <w:bookmarkStart w:id="0" w:name="PaperTitle"/>
      <w:r w:rsidRPr="00E838AF">
        <w:rPr>
          <w:color w:val="auto"/>
          <w:sz w:val="44"/>
          <w:szCs w:val="52"/>
        </w:rPr>
        <w:t xml:space="preserve">Time-history validation of simplified design </w:t>
      </w:r>
      <w:r w:rsidR="00254346">
        <w:rPr>
          <w:color w:val="auto"/>
          <w:sz w:val="44"/>
          <w:szCs w:val="52"/>
        </w:rPr>
        <w:t xml:space="preserve">approach </w:t>
      </w:r>
      <w:r w:rsidRPr="00E838AF">
        <w:rPr>
          <w:color w:val="auto"/>
          <w:sz w:val="44"/>
          <w:szCs w:val="52"/>
        </w:rPr>
        <w:t>for shear piles subject to liquefaction induced lateral spread with evacuation</w:t>
      </w:r>
    </w:p>
    <w:bookmarkEnd w:id="0"/>
    <w:p w14:paraId="51C4738D" w14:textId="3A74A3B3" w:rsidR="00F00A98" w:rsidRPr="0017535C" w:rsidRDefault="00254346" w:rsidP="0017535C">
      <w:pPr>
        <w:pStyle w:val="Author"/>
      </w:pPr>
      <w:r>
        <w:t>M Neves &amp;</w:t>
      </w:r>
      <w:r w:rsidR="00DE7406">
        <w:t xml:space="preserve"> </w:t>
      </w:r>
      <w:r w:rsidR="0072660B">
        <w:t>D Yang</w:t>
      </w:r>
    </w:p>
    <w:p w14:paraId="7891D923" w14:textId="062ECCF5" w:rsidR="00F00A98" w:rsidRPr="007448A2" w:rsidRDefault="0072660B" w:rsidP="00AA229D">
      <w:pPr>
        <w:pStyle w:val="Affiliation"/>
      </w:pPr>
      <w:r>
        <w:t>Tonkin &amp; Taylor Pty</w:t>
      </w:r>
      <w:r w:rsidRPr="007448A2">
        <w:t xml:space="preserve">, </w:t>
      </w:r>
      <w:r>
        <w:t>Australia</w:t>
      </w:r>
      <w:r w:rsidR="00F00A98" w:rsidRPr="007448A2">
        <w:t>.</w:t>
      </w:r>
    </w:p>
    <w:p w14:paraId="0E4409A8" w14:textId="2CE9D39F" w:rsidR="00F00A98" w:rsidRPr="0017535C" w:rsidRDefault="0072660B" w:rsidP="0017535C">
      <w:pPr>
        <w:pStyle w:val="Author"/>
      </w:pPr>
      <w:r w:rsidRPr="00123384">
        <w:t>A</w:t>
      </w:r>
      <w:r>
        <w:t xml:space="preserve"> Naylor</w:t>
      </w:r>
    </w:p>
    <w:p w14:paraId="633321E9" w14:textId="5EA33158" w:rsidR="00F00A98" w:rsidRPr="007448A2" w:rsidRDefault="0072660B" w:rsidP="0069116D">
      <w:pPr>
        <w:pStyle w:val="Affiliation"/>
      </w:pPr>
      <w:r>
        <w:t>Tonkin &amp; Taylor Ltd., Auckland</w:t>
      </w:r>
      <w:r w:rsidR="00F00A98" w:rsidRPr="007448A2">
        <w:t>.</w:t>
      </w:r>
    </w:p>
    <w:p w14:paraId="3BA8C41B" w14:textId="77777777" w:rsidR="00F00A98" w:rsidRPr="007448A2" w:rsidRDefault="00F00A98" w:rsidP="008D3348">
      <w:pPr>
        <w:pStyle w:val="UnnumberedHeading"/>
      </w:pPr>
      <w:r w:rsidRPr="007448A2">
        <w:t>ABSTRACT</w:t>
      </w:r>
    </w:p>
    <w:p w14:paraId="00D4066C" w14:textId="7D97CD34" w:rsidR="00254346" w:rsidRDefault="00254346" w:rsidP="00254346">
      <w:pPr>
        <w:pStyle w:val="AbstractSummary"/>
      </w:pPr>
      <w:r>
        <w:t>The lateral load transfer between a pile and laterally spreading ground during an earthquake is a complex soil-structure interaction problem given the significant nonlinear</w:t>
      </w:r>
      <w:r w:rsidR="00601C79">
        <w:t xml:space="preserve"> </w:t>
      </w:r>
      <w:r>
        <w:t>behaviour of soils during such an event.  This interaction becomes more complex when piles are used as a retaining system in close proximity to a free face/slope (</w:t>
      </w:r>
      <w:proofErr w:type="gramStart"/>
      <w:r>
        <w:t>e.g.</w:t>
      </w:r>
      <w:proofErr w:type="gramEnd"/>
      <w:r>
        <w:t xml:space="preserve"> river beds and coastal areas), which will likely suffer evacuation during a</w:t>
      </w:r>
      <w:r w:rsidR="001C1AEF">
        <w:t>n earthquake</w:t>
      </w:r>
      <w:r>
        <w:t>.</w:t>
      </w:r>
    </w:p>
    <w:p w14:paraId="681B9C26" w14:textId="77777777" w:rsidR="00254346" w:rsidRDefault="00254346" w:rsidP="00254346">
      <w:pPr>
        <w:pStyle w:val="AbstractSummary"/>
      </w:pPr>
      <w:r>
        <w:t xml:space="preserve">Common practice design methods rely on an iterative procedure which combines the Newmark Sliding Block theory and Limit Equilibrium analysis to predict the permanent soil displacements and yield accelerations of the slope.  This is usually followed </w:t>
      </w:r>
      <w:proofErr w:type="gramStart"/>
      <w:r>
        <w:t>by the use of</w:t>
      </w:r>
      <w:proofErr w:type="gramEnd"/>
      <w:r>
        <w:t xml:space="preserve"> specialized piling/retaining wall software to ensure strain compatibility is reached.  However, this approach needs to be adapted to consider the detrimental effects of evacuation on the mobilised shear forces and bending moments within the pile.</w:t>
      </w:r>
    </w:p>
    <w:p w14:paraId="34E22E31" w14:textId="3D0E7B5B" w:rsidR="00254346" w:rsidRDefault="00254346" w:rsidP="00254346">
      <w:pPr>
        <w:pStyle w:val="AbstractSummary"/>
      </w:pPr>
      <w:r>
        <w:t xml:space="preserve">To validate </w:t>
      </w:r>
      <w:r w:rsidR="009328BB">
        <w:t xml:space="preserve">previous </w:t>
      </w:r>
      <w:r>
        <w:t>adaptation</w:t>
      </w:r>
      <w:r w:rsidR="00601C79">
        <w:t xml:space="preserve">s </w:t>
      </w:r>
      <w:r>
        <w:t>to th</w:t>
      </w:r>
      <w:r w:rsidR="00601C79">
        <w:t>e</w:t>
      </w:r>
      <w:r>
        <w:t xml:space="preserve"> commonly accepted </w:t>
      </w:r>
      <w:r w:rsidR="00601C79">
        <w:t>approach</w:t>
      </w:r>
      <w:r>
        <w:t xml:space="preserve">, time-history analyses have been undertaken on a range of selected earthquakes.  The finite element (FE) modelling abandons the Newmark Sliding Block premise of a rigid soil block movement and </w:t>
      </w:r>
      <w:r w:rsidR="00601C79">
        <w:t>enables a</w:t>
      </w:r>
      <w:r>
        <w:t xml:space="preserve"> more accurate</w:t>
      </w:r>
      <w:r w:rsidR="00601C79">
        <w:t xml:space="preserve"> </w:t>
      </w:r>
      <w:r>
        <w:t>predict</w:t>
      </w:r>
      <w:r w:rsidR="00601C79">
        <w:t>ion of</w:t>
      </w:r>
      <w:r>
        <w:t xml:space="preserve"> the likely evacuation profile in a post-seismic scenario.  Furthermore, it provides a range of likely displacement for the piles, together with an envelope of structural forces to be accommodated by the structural design of the reinforcing elements.</w:t>
      </w:r>
      <w:r w:rsidR="00601C79">
        <w:t xml:space="preserve">  </w:t>
      </w:r>
      <w:r>
        <w:t>This paper discusses the assumptions and outcomes of the FE and presents a comparison between the FE and the modified pseudo-static design approaches.</w:t>
      </w:r>
    </w:p>
    <w:p w14:paraId="1C42D5B2" w14:textId="08187C2C" w:rsidR="00A650DD" w:rsidRDefault="00A650DD" w:rsidP="00A650DD">
      <w:pPr>
        <w:pStyle w:val="Heading1"/>
      </w:pPr>
      <w:bookmarkStart w:id="1" w:name="_Ref34061884"/>
      <w:r w:rsidRPr="00A650DD">
        <w:lastRenderedPageBreak/>
        <w:t>INTRODUCTION AND BACKGROUND</w:t>
      </w:r>
      <w:bookmarkEnd w:id="1"/>
    </w:p>
    <w:p w14:paraId="144030E1" w14:textId="5DAB8E93" w:rsidR="001C1AEF" w:rsidRDefault="001C1AEF" w:rsidP="001C1AEF">
      <w:r>
        <w:t xml:space="preserve">Liquefaction-induced lateral spread typically involves the lateral displacement of large and relatively intact blocks of soil down gentle slopes or towards a free face, such as a waterfront or riverbank.  It occurs </w:t>
      </w:r>
      <w:proofErr w:type="gramStart"/>
      <w:r>
        <w:t>as a result of</w:t>
      </w:r>
      <w:proofErr w:type="gramEnd"/>
      <w:r>
        <w:t xml:space="preserve"> liquefaction of relatively shallow underlying strata during a seismic event and movement of non-liquefied material above the liquefied layer.  It can be a major cause of damage to infrastructure located near waterfronts during and potentially after earthquakes.  These displacements are usually permanent and range from a few </w:t>
      </w:r>
      <w:r w:rsidR="006E45CE">
        <w:t>centimetres</w:t>
      </w:r>
      <w:r>
        <w:t xml:space="preserve"> to a few meters.</w:t>
      </w:r>
    </w:p>
    <w:p w14:paraId="7BF9987F" w14:textId="4CFBE672" w:rsidR="001C1AEF" w:rsidRDefault="00F36662" w:rsidP="00F36662">
      <w:r w:rsidRPr="007448A2">
        <w:rPr>
          <w:noProof/>
        </w:rPr>
        <mc:AlternateContent>
          <mc:Choice Requires="wps">
            <w:drawing>
              <wp:anchor distT="0" distB="0" distL="114300" distR="114300" simplePos="0" relativeHeight="251655168" behindDoc="0" locked="0" layoutInCell="1" allowOverlap="1" wp14:anchorId="68F5B5C0" wp14:editId="28E2B80C">
                <wp:simplePos x="0" y="0"/>
                <wp:positionH relativeFrom="column">
                  <wp:posOffset>-5715</wp:posOffset>
                </wp:positionH>
                <wp:positionV relativeFrom="paragraph">
                  <wp:posOffset>2571115</wp:posOffset>
                </wp:positionV>
                <wp:extent cx="3122930" cy="245745"/>
                <wp:effectExtent l="0" t="0" r="1270" b="1905"/>
                <wp:wrapSquare wrapText="bothSides"/>
                <wp:docPr id="16" name="Text Box 16"/>
                <wp:cNvGraphicFramePr/>
                <a:graphic xmlns:a="http://schemas.openxmlformats.org/drawingml/2006/main">
                  <a:graphicData uri="http://schemas.microsoft.com/office/word/2010/wordprocessingShape">
                    <wps:wsp>
                      <wps:cNvSpPr txBox="1"/>
                      <wps:spPr>
                        <a:xfrm>
                          <a:off x="0" y="0"/>
                          <a:ext cx="3122930" cy="245745"/>
                        </a:xfrm>
                        <a:prstGeom prst="rect">
                          <a:avLst/>
                        </a:prstGeom>
                        <a:solidFill>
                          <a:prstClr val="white"/>
                        </a:solidFill>
                        <a:ln>
                          <a:noFill/>
                        </a:ln>
                      </wps:spPr>
                      <wps:txbx>
                        <w:txbxContent>
                          <w:p w14:paraId="7406B2CB" w14:textId="570F7B64" w:rsidR="007E7D39" w:rsidRPr="000F5837" w:rsidRDefault="007E7D39" w:rsidP="001C1AEF">
                            <w:pPr>
                              <w:pStyle w:val="Caption"/>
                            </w:pPr>
                            <w:r>
                              <w:t xml:space="preserve">Figure 1: </w:t>
                            </w:r>
                            <w:r w:rsidRPr="009B1677">
                              <w:t>Site location plan [</w:t>
                            </w:r>
                            <w:r w:rsidR="00675CE1">
                              <w:t>Auckland Council</w:t>
                            </w:r>
                            <w:r w:rsidRPr="009B1677">
                              <w:t>, 20</w:t>
                            </w:r>
                            <w:r w:rsidR="00675CE1">
                              <w:t>20</w:t>
                            </w:r>
                            <w:r w:rsidRPr="009B167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5B5C0" id="_x0000_t202" coordsize="21600,21600" o:spt="202" path="m,l,21600r21600,l21600,xe">
                <v:stroke joinstyle="miter"/>
                <v:path gradientshapeok="t" o:connecttype="rect"/>
              </v:shapetype>
              <v:shape id="Text Box 16" o:spid="_x0000_s1026" type="#_x0000_t202" style="position:absolute;margin-left:-.45pt;margin-top:202.45pt;width:245.9pt;height: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vwLgIAAGIEAAAOAAAAZHJzL2Uyb0RvYy54bWysVE1vGjEQvVfqf7B8LwvkoyliiSgRVSWU&#10;RIIqZ+O1WUtejzs27NJf3/F+kDbtqerFjGeen/fNGzO/byrLTgqDAZfzyWjMmXISCuMOOf+2W3+4&#10;4yxE4Qphwamcn1Xg94v37+a1n6kplGALhYxIXJjVPudljH6WZUGWqhJhBF45KmrASkTa4iErUNTE&#10;XtlsOh7fZjVg4RGkCoGyD12RL1p+rZWMT1oHFZnNOX1bbFds131as8VczA4ofGlk/xniH76iEsbR&#10;pReqBxEFO6L5g6oyEiGAjiMJVQZaG6laDaRmMn6jZlsKr1ot1JzgL20K/49WPp6ekZmCvLvlzImK&#10;PNqpJrLP0DBKUX9qH2YE23oCxobyhB3ygZJJdqOxSr8kiFGdOn2+dDexSUpeTabTT1dUklSbXt98&#10;vL5JNNnraY8hflFQsRTkHMm9tqnitAmxgw6QdFkAa4q1sTZtUmFlkZ0EOV2XJqqe/DeUdQnrIJ3q&#10;CFMmSxI7KSmKzb7pde+hOJNshG5wgpdrQxdtRIjPAmlSSA5Nf3yiRVuocw59xFkJ+ONv+YQnA6nK&#10;WU2Tl/Pw/ShQcWa/OrI2jekQ4BDsh8AdqxWQxAm9Ky/bkA5gtEOoEaoXehTLdAuVhJN0V87jEK5i&#10;N//0qKRaLlsQDaMXceO2XibqoaG75kWg7+2IZOQjDDMpZm9c6bBde5fHCNq0lqWGdl3s+0yD3Jre&#10;P7r0Un7dt6jXv4bFTwAAAP//AwBQSwMEFAAGAAgAAAAhAMu/IBzeAAAACQEAAA8AAABkcnMvZG93&#10;bnJldi54bWxMj8FOwzAQRO9I/IO1SFxQ61CiiIY4FbT0BoeWqudtbJKIeB3ZTpP+PdsT3N5qRrMz&#10;xWqynTgbH1pHCh7nCQhDldMt1QoOX9vZM4gQkTR2joyCiwmwKm9vCsy1G2lnzvtYCw6hkKOCJsY+&#10;lzJUjbEY5q43xNq38xYjn76W2uPI4baTiyTJpMWW+EODvVk3pvrZD1ZBtvHDuKP1w+bw/oGffb04&#10;vl2OSt3fTa8vIKKZ4p8ZrvW5OpTc6eQG0kF0CmZLNipIk5SB9XSZMJwY0qcMZFnI/wvKXwAAAP//&#10;AwBQSwECLQAUAAYACAAAACEAtoM4kv4AAADhAQAAEwAAAAAAAAAAAAAAAAAAAAAAW0NvbnRlbnRf&#10;VHlwZXNdLnhtbFBLAQItABQABgAIAAAAIQA4/SH/1gAAAJQBAAALAAAAAAAAAAAAAAAAAC8BAABf&#10;cmVscy8ucmVsc1BLAQItABQABgAIAAAAIQA5gVvwLgIAAGIEAAAOAAAAAAAAAAAAAAAAAC4CAABk&#10;cnMvZTJvRG9jLnhtbFBLAQItABQABgAIAAAAIQDLvyAc3gAAAAkBAAAPAAAAAAAAAAAAAAAAAIgE&#10;AABkcnMvZG93bnJldi54bWxQSwUGAAAAAAQABADzAAAAkwUAAAAA&#10;" stroked="f">
                <v:textbox inset="0,0,0,0">
                  <w:txbxContent>
                    <w:p w14:paraId="7406B2CB" w14:textId="570F7B64" w:rsidR="007E7D39" w:rsidRPr="000F5837" w:rsidRDefault="007E7D39" w:rsidP="001C1AEF">
                      <w:pPr>
                        <w:pStyle w:val="Caption"/>
                      </w:pPr>
                      <w:r>
                        <w:t xml:space="preserve">Figure 1: </w:t>
                      </w:r>
                      <w:r w:rsidRPr="009B1677">
                        <w:t>Site location plan [</w:t>
                      </w:r>
                      <w:r w:rsidR="00675CE1">
                        <w:t>Auckland Council</w:t>
                      </w:r>
                      <w:r w:rsidRPr="009B1677">
                        <w:t>, 20</w:t>
                      </w:r>
                      <w:r w:rsidR="00675CE1">
                        <w:t>20</w:t>
                      </w:r>
                      <w:r w:rsidRPr="009B1677">
                        <w:t>]</w:t>
                      </w:r>
                    </w:p>
                  </w:txbxContent>
                </v:textbox>
                <w10:wrap type="square"/>
              </v:shape>
            </w:pict>
          </mc:Fallback>
        </mc:AlternateContent>
      </w:r>
      <w:r w:rsidR="00675CE1">
        <w:rPr>
          <w:noProof/>
        </w:rPr>
        <w:drawing>
          <wp:anchor distT="0" distB="0" distL="114300" distR="114300" simplePos="0" relativeHeight="251660288" behindDoc="0" locked="0" layoutInCell="1" allowOverlap="1" wp14:anchorId="4EFB340D" wp14:editId="7CAF705D">
            <wp:simplePos x="0" y="0"/>
            <wp:positionH relativeFrom="column">
              <wp:posOffset>-2540</wp:posOffset>
            </wp:positionH>
            <wp:positionV relativeFrom="paragraph">
              <wp:posOffset>41910</wp:posOffset>
            </wp:positionV>
            <wp:extent cx="3102610" cy="244602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85" b="-1"/>
                    <a:stretch/>
                  </pic:blipFill>
                  <pic:spPr bwMode="auto">
                    <a:xfrm>
                      <a:off x="0" y="0"/>
                      <a:ext cx="3102610" cy="2446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43EF">
        <w:t xml:space="preserve">In New Zealand, </w:t>
      </w:r>
      <w:r w:rsidR="001C1AEF">
        <w:t xml:space="preserve">Auckland Transport have decided to upgrade the resilience of Auckland City’s waterfront, as part of </w:t>
      </w:r>
      <w:r w:rsidR="001C1AEF" w:rsidRPr="003575B2">
        <w:t>the Auckland Downtown Infrastructure Development.  This includes</w:t>
      </w:r>
      <w:r w:rsidR="001C1AEF">
        <w:t xml:space="preserve"> an existing seawall, which provides support to the Quay Street carriageway, footpaths, as well as </w:t>
      </w:r>
      <w:proofErr w:type="gramStart"/>
      <w:r w:rsidR="001C1AEF">
        <w:t>a large number of</w:t>
      </w:r>
      <w:proofErr w:type="gramEnd"/>
      <w:r w:rsidR="001C1AEF">
        <w:t xml:space="preserve"> buried utility services and provides access to the Ferry Building and Auckland’s port (Figure 1).  </w:t>
      </w:r>
      <w:r w:rsidR="00A8634F">
        <w:t xml:space="preserve">The existing ground conditions </w:t>
      </w:r>
      <w:r w:rsidR="001C1AEF">
        <w:t xml:space="preserve">at this location </w:t>
      </w:r>
      <w:r w:rsidR="00A8634F">
        <w:t xml:space="preserve">comprise </w:t>
      </w:r>
      <w:r w:rsidR="007B6069" w:rsidRPr="00A1297E">
        <w:t xml:space="preserve">reclamation fill overlying </w:t>
      </w:r>
      <w:r w:rsidR="005C6901">
        <w:t xml:space="preserve">Upper </w:t>
      </w:r>
      <w:r w:rsidR="007B6069" w:rsidRPr="00A1297E">
        <w:t xml:space="preserve">Tauranga Group marine and </w:t>
      </w:r>
      <w:r w:rsidR="005C6901">
        <w:t xml:space="preserve">Lower Tauranga Group </w:t>
      </w:r>
      <w:r w:rsidR="007B6069" w:rsidRPr="00A1297E">
        <w:t>alluvial sediments,</w:t>
      </w:r>
      <w:r w:rsidR="00A8634F">
        <w:t xml:space="preserve"> which in turn overl</w:t>
      </w:r>
      <w:r>
        <w:t>y</w:t>
      </w:r>
      <w:r w:rsidR="00A8634F">
        <w:t xml:space="preserve"> E</w:t>
      </w:r>
      <w:r>
        <w:t>ast Coast Bays Formation (E</w:t>
      </w:r>
      <w:r w:rsidR="00A8634F">
        <w:t>CBF</w:t>
      </w:r>
      <w:r>
        <w:t>)</w:t>
      </w:r>
      <w:r w:rsidR="00A8634F">
        <w:t xml:space="preserve"> material. </w:t>
      </w:r>
      <w:r>
        <w:t xml:space="preserve"> </w:t>
      </w:r>
      <w:r w:rsidR="00A8634F">
        <w:t xml:space="preserve">During Ultimate Limit State (ULS) levels of shacking, sandy materials within the reclamation fill, </w:t>
      </w:r>
      <w:r w:rsidR="005C6901">
        <w:t>and</w:t>
      </w:r>
      <w:r w:rsidR="00A8634F">
        <w:t xml:space="preserve"> i</w:t>
      </w:r>
      <w:r w:rsidR="007B6069" w:rsidRPr="00A1297E">
        <w:t xml:space="preserve">solated lenses </w:t>
      </w:r>
      <w:r w:rsidR="00A8634F">
        <w:t xml:space="preserve">within the </w:t>
      </w:r>
      <w:r w:rsidR="007B6069" w:rsidRPr="00A1297E">
        <w:t xml:space="preserve">Upper Tauranga Group (UTG) </w:t>
      </w:r>
      <w:r w:rsidR="00A8634F">
        <w:t xml:space="preserve">are </w:t>
      </w:r>
      <w:r w:rsidR="007B6069" w:rsidRPr="00A1297E">
        <w:t xml:space="preserve">considered susceptible to liquefaction, with the remaining </w:t>
      </w:r>
      <w:r w:rsidR="00A8634F">
        <w:t xml:space="preserve">fine-grained horizons within both strata </w:t>
      </w:r>
      <w:r w:rsidR="007B6069" w:rsidRPr="00A1297E">
        <w:t>considered susceptible to cyclic strength loss</w:t>
      </w:r>
      <w:r w:rsidR="00A8634F">
        <w:t xml:space="preserve">.  </w:t>
      </w:r>
      <w:r>
        <w:t>L</w:t>
      </w:r>
      <w:r w:rsidR="00A8634F">
        <w:t xml:space="preserve">imit equilibrium (LE) analysis </w:t>
      </w:r>
      <w:r>
        <w:t xml:space="preserve">has suggested that </w:t>
      </w:r>
      <w:r w:rsidR="00A8634F" w:rsidRPr="00A1297E">
        <w:t>lateral spreading is likely to occur, following the triggering of liquefaction and cyclic softening</w:t>
      </w:r>
      <w:r>
        <w:t xml:space="preserve">, due to </w:t>
      </w:r>
      <w:r w:rsidR="00A8634F" w:rsidRPr="00A1297E">
        <w:t>propagation of a slip surface between liquefied and cyclically softened lenses of the UTG sediments</w:t>
      </w:r>
      <w:r>
        <w:t>.</w:t>
      </w:r>
    </w:p>
    <w:p w14:paraId="204B674F" w14:textId="641B9BE1" w:rsidR="00F0760C" w:rsidRDefault="001C1AEF" w:rsidP="00F0760C">
      <w:r w:rsidRPr="009B1677">
        <w:t xml:space="preserve">To </w:t>
      </w:r>
      <w:r>
        <w:t xml:space="preserve">reduce </w:t>
      </w:r>
      <w:r w:rsidRPr="009B1677">
        <w:t>lateral spread</w:t>
      </w:r>
      <w:r>
        <w:t xml:space="preserve"> induced damage</w:t>
      </w:r>
      <w:r w:rsidRPr="009B1677">
        <w:t xml:space="preserve">, a reinforced concrete palisade wall is proposed along a circa 300m section of the Quay Street seawall which is to be built landward of the existing seawall (Figure 2), due to infrastructure and environmental constraints, as well as the historic/heritage value of the latter.  </w:t>
      </w:r>
      <w:r>
        <w:t xml:space="preserve">Nevertheless, a key consideration in the design was that </w:t>
      </w:r>
      <w:r w:rsidRPr="009B1677">
        <w:t>the exi</w:t>
      </w:r>
      <w:r>
        <w:t>s</w:t>
      </w:r>
      <w:r w:rsidRPr="009B1677">
        <w:t xml:space="preserve">ting seawall </w:t>
      </w:r>
      <w:r>
        <w:t xml:space="preserve">would be allowed to </w:t>
      </w:r>
      <w:r w:rsidRPr="009B1677">
        <w:t>potentially fail</w:t>
      </w:r>
      <w:r>
        <w:t>,</w:t>
      </w:r>
      <w:r w:rsidRPr="009B1677">
        <w:t xml:space="preserve"> during the design earthquake event</w:t>
      </w:r>
      <w:r>
        <w:t xml:space="preserve">, leaving the </w:t>
      </w:r>
      <w:r w:rsidRPr="009B1677">
        <w:t>proposed palisade wall</w:t>
      </w:r>
      <w:r>
        <w:t xml:space="preserve"> to act as </w:t>
      </w:r>
      <w:r w:rsidRPr="009B1677">
        <w:t>a retaining solution</w:t>
      </w:r>
      <w:r>
        <w:t xml:space="preserve"> to</w:t>
      </w:r>
      <w:r w:rsidRPr="009B1677">
        <w:t xml:space="preserve"> limit the horizontal displacements at </w:t>
      </w:r>
      <w:r>
        <w:t xml:space="preserve">the </w:t>
      </w:r>
      <w:r w:rsidRPr="009B1677">
        <w:t>surface.</w:t>
      </w:r>
      <w:r w:rsidR="00987D5B">
        <w:t xml:space="preserve">  </w:t>
      </w:r>
      <w:r w:rsidR="00F0760C">
        <w:t xml:space="preserve">Along the remaining length of the seawall, a solution comprising </w:t>
      </w:r>
      <w:r w:rsidR="00F0760C" w:rsidRPr="009B1677">
        <w:t xml:space="preserve">a </w:t>
      </w:r>
      <w:r w:rsidR="00F0760C">
        <w:t>series of jet grout shear walls has been proposed to provide the necessary support to Quay Street, as documented in Neves et al. (2020).</w:t>
      </w:r>
    </w:p>
    <w:p w14:paraId="53A4328C" w14:textId="053CCFFB" w:rsidR="00ED6791" w:rsidRDefault="00F36662" w:rsidP="00ED6791">
      <w:r w:rsidRPr="007448A2">
        <w:rPr>
          <w:noProof/>
        </w:rPr>
        <mc:AlternateContent>
          <mc:Choice Requires="wps">
            <w:drawing>
              <wp:anchor distT="0" distB="0" distL="114300" distR="114300" simplePos="0" relativeHeight="251658240" behindDoc="0" locked="0" layoutInCell="1" allowOverlap="1" wp14:anchorId="0630DB70" wp14:editId="61646642">
                <wp:simplePos x="0" y="0"/>
                <wp:positionH relativeFrom="margin">
                  <wp:posOffset>-5715</wp:posOffset>
                </wp:positionH>
                <wp:positionV relativeFrom="paragraph">
                  <wp:posOffset>1782283</wp:posOffset>
                </wp:positionV>
                <wp:extent cx="3509645" cy="286385"/>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3509645" cy="286385"/>
                        </a:xfrm>
                        <a:prstGeom prst="rect">
                          <a:avLst/>
                        </a:prstGeom>
                        <a:solidFill>
                          <a:prstClr val="white"/>
                        </a:solidFill>
                        <a:ln>
                          <a:noFill/>
                        </a:ln>
                      </wps:spPr>
                      <wps:txbx>
                        <w:txbxContent>
                          <w:p w14:paraId="430F2DD6" w14:textId="77777777" w:rsidR="007E7D39" w:rsidRPr="000F5837" w:rsidRDefault="007E7D39" w:rsidP="001C1AEF">
                            <w:pPr>
                              <w:pStyle w:val="Caption"/>
                            </w:pPr>
                            <w:r>
                              <w:t xml:space="preserve">Figure 2: </w:t>
                            </w:r>
                            <w:r w:rsidRPr="000B15C7">
                              <w:t>Typical cross section of the proposed palisade wall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DB70" id="Text Box 30" o:spid="_x0000_s1027" type="#_x0000_t202" style="position:absolute;margin-left:-.45pt;margin-top:140.35pt;width:276.35pt;height:2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sMQIAAGkEAAAOAAAAZHJzL2Uyb0RvYy54bWysVE2P2yAQvVfqf0DcG+ejibZWnFWaVapK&#10;0e5KSbVngiFGAoYCiZ3++g7+yLbbnqpe8DAzPHhvZry8b4wmF+GDAlvQyWhMibAcSmVPBf122H64&#10;oyREZkumwYqCXkWg96v375a1y8UUKtCl8ARBbMhrV9AqRpdnWeCVMCyMwAmLQQnesIhbf8pKz2pE&#10;NzqbjseLrAZfOg9chIDehy5IVy2+lILHJymDiEQXFN8W29W36zGt2WrJ8pNnrlK8fwb7h1cYpixe&#10;eoN6YJGRs1d/QBnFPQSQccTBZCCl4qLlgGwm4zds9hVzouWC4gR3kyn8P1j+eHn2RJUFnaE8lhms&#10;0UE0kXyGhqAL9aldyDFt7zAxNujHOg/+gM5Eu5HepC8SIhhHqOtN3YTG0Tmbjz8tPs4p4Rib3i1m&#10;d/MEk72edj7ELwIMSUZBPVavFZVddiF2qUNKuiyAVuVWaZ02KbDRnlwYVrquVBQ9+G9Z2qZcC+lU&#10;B5g8WaLYUUlWbI5NK8mN5hHKK7L30PVPcHyr8L4dC/GZeWwYJIxDEJ9wkRrqgkJvUVKB//E3f8rH&#10;OmKUkhobsKDh+5l5QYn+arHCqVsHww/GcTDs2WwAmU5wvBxvTTzgox5M6cG84Gys0y0YYpbjXQWN&#10;g7mJ3RjgbHGxXrdJ2JOOxZ3dO56gB10PzQvzrq9KxHo+wtCaLH9TnC63U3l9jiBVW7mka6diLzf2&#10;c1v7fvbSwPy6b7Ne/xCrnwAAAP//AwBQSwMEFAAGAAgAAAAhAKlJTEXfAAAACQEAAA8AAABkcnMv&#10;ZG93bnJldi54bWxMj0FPg0AUhO8m/ofNM/Fi2qUYKiKPRlt700Nr0/OWXYHIviXsUui/93mqx8lM&#10;Zr7JV5Ntxdn0vnGEsJhHIAyVTjdUIRy+trMUhA+KtGodGYSL8bAqbm9ylWk30s6c96ESXEI+Uwh1&#10;CF0mpS9rY5Wfu84Qe9+utyqw7CupezVyuW1lHEVLaVVDvFCrzqxrU/7sB4uw3PTDuKP1w+bw/qE+&#10;uyo+vl2OiPd30+sLiGCmcA3DHz6jQ8FMJzeQ9qJFmD1zECFOoycQ7CfJgq+cEB7jJAVZ5PL/g+IX&#10;AAD//wMAUEsBAi0AFAAGAAgAAAAhALaDOJL+AAAA4QEAABMAAAAAAAAAAAAAAAAAAAAAAFtDb250&#10;ZW50X1R5cGVzXS54bWxQSwECLQAUAAYACAAAACEAOP0h/9YAAACUAQAACwAAAAAAAAAAAAAAAAAv&#10;AQAAX3JlbHMvLnJlbHNQSwECLQAUAAYACAAAACEAFcfgbDECAABpBAAADgAAAAAAAAAAAAAAAAAu&#10;AgAAZHJzL2Uyb0RvYy54bWxQSwECLQAUAAYACAAAACEAqUlMRd8AAAAJAQAADwAAAAAAAAAAAAAA&#10;AACLBAAAZHJzL2Rvd25yZXYueG1sUEsFBgAAAAAEAAQA8wAAAJcFAAAAAA==&#10;" stroked="f">
                <v:textbox inset="0,0,0,0">
                  <w:txbxContent>
                    <w:p w14:paraId="430F2DD6" w14:textId="77777777" w:rsidR="007E7D39" w:rsidRPr="000F5837" w:rsidRDefault="007E7D39" w:rsidP="001C1AEF">
                      <w:pPr>
                        <w:pStyle w:val="Caption"/>
                      </w:pPr>
                      <w:r>
                        <w:t xml:space="preserve">Figure 2: </w:t>
                      </w:r>
                      <w:r w:rsidRPr="000B15C7">
                        <w:t>Typical cross section of the proposed palisade wall</w:t>
                      </w:r>
                    </w:p>
                  </w:txbxContent>
                </v:textbox>
                <w10:wrap type="square" anchorx="margin"/>
              </v:shape>
            </w:pict>
          </mc:Fallback>
        </mc:AlternateContent>
      </w:r>
      <w:r w:rsidR="00A95E02">
        <w:rPr>
          <w:noProof/>
        </w:rPr>
        <w:drawing>
          <wp:anchor distT="0" distB="0" distL="114300" distR="114300" simplePos="0" relativeHeight="251657216" behindDoc="0" locked="0" layoutInCell="1" allowOverlap="1" wp14:anchorId="29898CEE" wp14:editId="008DD81C">
            <wp:simplePos x="0" y="0"/>
            <wp:positionH relativeFrom="column">
              <wp:posOffset>-8564</wp:posOffset>
            </wp:positionH>
            <wp:positionV relativeFrom="paragraph">
              <wp:posOffset>49340</wp:posOffset>
            </wp:positionV>
            <wp:extent cx="3432810" cy="16808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32810" cy="1680845"/>
                    </a:xfrm>
                    <a:prstGeom prst="rect">
                      <a:avLst/>
                    </a:prstGeom>
                  </pic:spPr>
                </pic:pic>
              </a:graphicData>
            </a:graphic>
            <wp14:sizeRelH relativeFrom="page">
              <wp14:pctWidth>0</wp14:pctWidth>
            </wp14:sizeRelH>
            <wp14:sizeRelV relativeFrom="page">
              <wp14:pctHeight>0</wp14:pctHeight>
            </wp14:sizeRelV>
          </wp:anchor>
        </w:drawing>
      </w:r>
      <w:r w:rsidR="00FB43EF">
        <w:t xml:space="preserve">Neves and Naylor (2020) provide an overview of the simplified methodology that has been developed for the design of piled walls subject to </w:t>
      </w:r>
      <w:r w:rsidR="00ED6791">
        <w:t>lateral soil movement, combined with an evacuation scenario.  The proposed approach makes use of readily available software, whilst ensuring displacement compatibility between the required shear forces to meet overall stability requirements and the predicted soil/pile displacements.</w:t>
      </w:r>
    </w:p>
    <w:p w14:paraId="5CED7B53" w14:textId="0CB791F4" w:rsidR="00F2463D" w:rsidRDefault="00ED6791" w:rsidP="00F2463D">
      <w:r>
        <w:lastRenderedPageBreak/>
        <w:t xml:space="preserve">To </w:t>
      </w:r>
      <w:r w:rsidRPr="00ED6791">
        <w:t>validate th</w:t>
      </w:r>
      <w:r>
        <w:t>is approach</w:t>
      </w:r>
      <w:r w:rsidRPr="00ED6791">
        <w:t xml:space="preserve">, </w:t>
      </w:r>
      <w:r>
        <w:t xml:space="preserve">and especially given the importance level of the works, finite </w:t>
      </w:r>
      <w:r w:rsidR="00F2463D">
        <w:t xml:space="preserve">element (FE) </w:t>
      </w:r>
      <w:r w:rsidRPr="00ED6791">
        <w:t xml:space="preserve">time-history analyses have been undertaken on a </w:t>
      </w:r>
      <w:r>
        <w:t>range of scaled earthquake records</w:t>
      </w:r>
      <w:r w:rsidR="00705D7F">
        <w:t xml:space="preserve"> </w:t>
      </w:r>
      <w:bookmarkStart w:id="2" w:name="_Hlk45199252"/>
      <w:r w:rsidR="00705D7F">
        <w:t>using the software package PLAXIS 2D</w:t>
      </w:r>
      <w:bookmarkEnd w:id="2"/>
      <w:r w:rsidR="00F2463D">
        <w:t xml:space="preserve">.  The selection of the appropriate records is </w:t>
      </w:r>
      <w:proofErr w:type="spellStart"/>
      <w:r w:rsidR="00F2463D">
        <w:t>outwith</w:t>
      </w:r>
      <w:proofErr w:type="spellEnd"/>
      <w:r w:rsidR="00F2463D">
        <w:t xml:space="preserve"> of the scope of this paper, however they have been based on a </w:t>
      </w:r>
      <w:r w:rsidR="00F2463D" w:rsidRPr="00342709">
        <w:t>1D site response analysis</w:t>
      </w:r>
      <w:r w:rsidR="00F2463D">
        <w:t>,</w:t>
      </w:r>
      <w:r w:rsidR="00F2463D" w:rsidRPr="00342709">
        <w:t xml:space="preserve"> undertaken to determine the effect of the </w:t>
      </w:r>
      <w:r w:rsidR="006E45CE" w:rsidRPr="00342709">
        <w:t>site-specific</w:t>
      </w:r>
      <w:r w:rsidR="00F2463D" w:rsidRPr="00342709">
        <w:t xml:space="preserve"> su</w:t>
      </w:r>
      <w:r w:rsidR="006E45CE">
        <w:t>pe</w:t>
      </w:r>
      <w:r w:rsidR="00F2463D" w:rsidRPr="00342709">
        <w:t>rficial soils on the ground motion</w:t>
      </w:r>
      <w:r w:rsidR="00F2463D">
        <w:t xml:space="preserve">.  </w:t>
      </w:r>
      <w:r w:rsidR="000C65E5">
        <w:t>Ahead of the FE analysis, a s</w:t>
      </w:r>
      <w:r w:rsidR="00F2463D" w:rsidRPr="00342709">
        <w:t>election and scaling of input ground motions</w:t>
      </w:r>
      <w:r w:rsidR="00F2463D">
        <w:t xml:space="preserve">, as well as </w:t>
      </w:r>
      <w:r w:rsidR="00F2463D" w:rsidRPr="00342709">
        <w:t xml:space="preserve">the 1D site response </w:t>
      </w:r>
      <w:r w:rsidR="00F2463D">
        <w:t>analysis,</w:t>
      </w:r>
      <w:r w:rsidR="00F2463D" w:rsidRPr="00342709">
        <w:t xml:space="preserve"> </w:t>
      </w:r>
      <w:r w:rsidR="000C65E5">
        <w:t xml:space="preserve">was completed </w:t>
      </w:r>
      <w:r w:rsidR="00F2463D" w:rsidRPr="00342709">
        <w:t xml:space="preserve">to confirm the </w:t>
      </w:r>
      <w:r w:rsidR="00F2463D">
        <w:t>peak ground acceleration (</w:t>
      </w:r>
      <w:r w:rsidR="00F2463D" w:rsidRPr="00342709">
        <w:t>PGA</w:t>
      </w:r>
      <w:r w:rsidR="00F2463D">
        <w:t>)</w:t>
      </w:r>
      <w:r w:rsidR="00F2463D" w:rsidRPr="00342709">
        <w:t xml:space="preserve"> for liquefaction analysis and for the geotechnical design Quay Street strengthening structures. </w:t>
      </w:r>
    </w:p>
    <w:p w14:paraId="3B466F65" w14:textId="761D46F6" w:rsidR="003B5EEC" w:rsidRPr="00342709" w:rsidRDefault="003B5EEC" w:rsidP="00F2463D">
      <w:r>
        <w:t>This paper summarise</w:t>
      </w:r>
      <w:r w:rsidR="00607509">
        <w:t>s</w:t>
      </w:r>
      <w:r>
        <w:t xml:space="preserve"> the validation of the simplified design approach when applied to one </w:t>
      </w:r>
      <w:proofErr w:type="gramStart"/>
      <w:r>
        <w:t>particular design</w:t>
      </w:r>
      <w:proofErr w:type="gramEnd"/>
      <w:r>
        <w:t xml:space="preserve"> cross section along the seawall.  Nevertheless, the authors of this paper have confirmed the applicability of the method to the remaining design cross sections.</w:t>
      </w:r>
    </w:p>
    <w:p w14:paraId="43ECA2BE" w14:textId="0ECA92C5" w:rsidR="00036D51" w:rsidRDefault="00036D51" w:rsidP="00DC3C39">
      <w:pPr>
        <w:pStyle w:val="Heading1"/>
      </w:pPr>
      <w:r>
        <w:t>Time-History analyses</w:t>
      </w:r>
    </w:p>
    <w:p w14:paraId="3B14AEEE" w14:textId="03190774" w:rsidR="00DC3C39" w:rsidRDefault="00036D51" w:rsidP="00036D51">
      <w:pPr>
        <w:pStyle w:val="Heading2"/>
      </w:pPr>
      <w:bookmarkStart w:id="3" w:name="_Ref34066250"/>
      <w:r>
        <w:t>Methodology</w:t>
      </w:r>
      <w:bookmarkEnd w:id="3"/>
    </w:p>
    <w:p w14:paraId="266295A0" w14:textId="0F8A22D3" w:rsidR="006E45CE" w:rsidRPr="006E45CE" w:rsidRDefault="006E45CE" w:rsidP="006E45CE">
      <w:pPr>
        <w:rPr>
          <w:lang w:val="la-Latn"/>
        </w:rPr>
      </w:pPr>
      <w:r>
        <w:t>T</w:t>
      </w:r>
      <w:r w:rsidRPr="006E45CE">
        <w:rPr>
          <w:lang w:val="la-Latn"/>
        </w:rPr>
        <w:t xml:space="preserve">he </w:t>
      </w:r>
      <w:r w:rsidR="000C65E5">
        <w:t xml:space="preserve">design </w:t>
      </w:r>
      <w:r>
        <w:t xml:space="preserve">approach to the time-history </w:t>
      </w:r>
      <w:r w:rsidRPr="006E45CE">
        <w:rPr>
          <w:lang w:val="la-Latn"/>
        </w:rPr>
        <w:t>analys</w:t>
      </w:r>
      <w:r>
        <w:t>e</w:t>
      </w:r>
      <w:r w:rsidRPr="006E45CE">
        <w:rPr>
          <w:lang w:val="la-Latn"/>
        </w:rPr>
        <w:t xml:space="preserve">s has </w:t>
      </w:r>
      <w:r w:rsidR="000C65E5">
        <w:t xml:space="preserve">generally </w:t>
      </w:r>
      <w:r w:rsidRPr="006E45CE">
        <w:rPr>
          <w:lang w:val="la-Latn"/>
        </w:rPr>
        <w:t xml:space="preserve">followed </w:t>
      </w:r>
      <w:r w:rsidR="004C0080">
        <w:t>two separate stages</w:t>
      </w:r>
      <w:r w:rsidRPr="006E45CE">
        <w:rPr>
          <w:lang w:val="la-Latn"/>
        </w:rPr>
        <w:t>:</w:t>
      </w:r>
    </w:p>
    <w:p w14:paraId="1B4568EA" w14:textId="09553D06" w:rsidR="004C0080" w:rsidRPr="004C0080" w:rsidRDefault="006E45CE" w:rsidP="00FD232A">
      <w:pPr>
        <w:pStyle w:val="ListParagraph"/>
        <w:numPr>
          <w:ilvl w:val="0"/>
          <w:numId w:val="7"/>
        </w:numPr>
        <w:rPr>
          <w:lang w:val="la-Latn"/>
        </w:rPr>
      </w:pPr>
      <w:r w:rsidRPr="004C0080">
        <w:rPr>
          <w:lang w:val="la-Latn"/>
        </w:rPr>
        <w:t>Calibration stage</w:t>
      </w:r>
      <w:r w:rsidR="004C0080">
        <w:t xml:space="preserve"> – to a</w:t>
      </w:r>
      <w:r w:rsidRPr="004C0080">
        <w:rPr>
          <w:lang w:val="la-Latn"/>
        </w:rPr>
        <w:t>rrive at spectral accelerations at rockhead</w:t>
      </w:r>
      <w:r w:rsidR="004C0080">
        <w:t xml:space="preserve"> consistent to the subsoil classification of the site; and</w:t>
      </w:r>
    </w:p>
    <w:p w14:paraId="38D18281" w14:textId="265219DC" w:rsidR="006E45CE" w:rsidRPr="004C0080" w:rsidRDefault="006E45CE" w:rsidP="00FD232A">
      <w:pPr>
        <w:pStyle w:val="ListParagraph"/>
        <w:numPr>
          <w:ilvl w:val="0"/>
          <w:numId w:val="7"/>
        </w:numPr>
        <w:rPr>
          <w:lang w:val="la-Latn"/>
        </w:rPr>
      </w:pPr>
      <w:r w:rsidRPr="004C0080">
        <w:rPr>
          <w:lang w:val="la-Latn"/>
        </w:rPr>
        <w:t>Design stage</w:t>
      </w:r>
      <w:r w:rsidR="004C0080">
        <w:t xml:space="preserve"> – to determine the performance of the proposed works for a range of soil conditions.</w:t>
      </w:r>
    </w:p>
    <w:p w14:paraId="395A239E" w14:textId="559918A0" w:rsidR="004C0080" w:rsidRPr="004C0080" w:rsidRDefault="004C0080" w:rsidP="004C0080">
      <w:pPr>
        <w:rPr>
          <w:lang w:val="la-Latn"/>
        </w:rPr>
      </w:pPr>
      <w:r w:rsidRPr="004C0080">
        <w:rPr>
          <w:lang w:val="la-Latn"/>
        </w:rPr>
        <w:t>However, it should be noted that the dynamic analys</w:t>
      </w:r>
      <w:r w:rsidR="003C4BDD">
        <w:t>e</w:t>
      </w:r>
      <w:r w:rsidRPr="004C0080">
        <w:rPr>
          <w:lang w:val="la-Latn"/>
        </w:rPr>
        <w:t xml:space="preserve">s undertaken </w:t>
      </w:r>
      <w:r w:rsidR="000C65E5">
        <w:t xml:space="preserve">as part of this paper are not </w:t>
      </w:r>
      <w:r w:rsidRPr="004C0080">
        <w:rPr>
          <w:lang w:val="la-Latn"/>
        </w:rPr>
        <w:t>based on effective stress principles, i.e., a fully coupled effective stress method has not been used to account for excess pore water pressure, flow of pore water through the soil and detailed modelling of the stress-strain behaviour of soil.</w:t>
      </w:r>
      <w:r w:rsidR="000C65E5">
        <w:t xml:space="preserve">  A</w:t>
      </w:r>
      <w:r w:rsidR="003C4BDD">
        <w:t>lternative</w:t>
      </w:r>
      <w:r w:rsidR="000C65E5">
        <w:t>ly</w:t>
      </w:r>
      <w:r w:rsidR="003C4BDD">
        <w:t xml:space="preserve">, </w:t>
      </w:r>
      <w:r w:rsidR="000C65E5">
        <w:t xml:space="preserve">un-coupled analyses have been undertaken on two separate </w:t>
      </w:r>
      <w:r w:rsidRPr="004C0080">
        <w:rPr>
          <w:lang w:val="la-Latn"/>
        </w:rPr>
        <w:t>scenarios</w:t>
      </w:r>
      <w:r w:rsidR="003C4BDD">
        <w:t>:</w:t>
      </w:r>
    </w:p>
    <w:p w14:paraId="1B330653" w14:textId="55759499" w:rsidR="003C4BDD" w:rsidRPr="003C4BDD" w:rsidRDefault="003C4BDD" w:rsidP="00FD232A">
      <w:pPr>
        <w:pStyle w:val="ListParagraph"/>
        <w:numPr>
          <w:ilvl w:val="0"/>
          <w:numId w:val="8"/>
        </w:numPr>
        <w:rPr>
          <w:lang w:val="la-Latn"/>
        </w:rPr>
      </w:pPr>
      <w:r w:rsidRPr="003C4BDD">
        <w:rPr>
          <w:lang w:val="la-Latn"/>
        </w:rPr>
        <w:t>Time history analysis for the proposed works with full strength soil parameters</w:t>
      </w:r>
      <w:r>
        <w:t>; and</w:t>
      </w:r>
    </w:p>
    <w:p w14:paraId="0F86553A" w14:textId="77777777" w:rsidR="003C4BDD" w:rsidRPr="003C4BDD" w:rsidRDefault="003C4BDD" w:rsidP="00FD232A">
      <w:pPr>
        <w:pStyle w:val="ListParagraph"/>
        <w:numPr>
          <w:ilvl w:val="0"/>
          <w:numId w:val="8"/>
        </w:numPr>
        <w:rPr>
          <w:lang w:val="la-Latn"/>
        </w:rPr>
      </w:pPr>
      <w:r w:rsidRPr="003C4BDD">
        <w:rPr>
          <w:lang w:val="la-Latn"/>
        </w:rPr>
        <w:t>Time history analysis for the proposed works with fully liquefied/cyclic softened conditions.</w:t>
      </w:r>
    </w:p>
    <w:p w14:paraId="41EC8488" w14:textId="4759AC5C" w:rsidR="003C4BDD" w:rsidRDefault="003C4BDD" w:rsidP="006E45CE">
      <w:r>
        <w:t xml:space="preserve">The rationale behind the above </w:t>
      </w:r>
      <w:r w:rsidR="000C65E5">
        <w:t>wa</w:t>
      </w:r>
      <w:r w:rsidR="00116E9E">
        <w:t xml:space="preserve">s the uncertainty with regards to the </w:t>
      </w:r>
      <w:r w:rsidR="00116E9E" w:rsidRPr="006E45CE">
        <w:rPr>
          <w:lang w:val="la-Latn"/>
        </w:rPr>
        <w:t>point in the time history at which the subsoils lose strength due to liquefaction and cyclic softening</w:t>
      </w:r>
      <w:r w:rsidR="00116E9E">
        <w:t>.  Therefore, by analysing t</w:t>
      </w:r>
      <w:r>
        <w:t xml:space="preserve">hese two </w:t>
      </w:r>
      <w:r w:rsidR="00116E9E">
        <w:t xml:space="preserve">extreme </w:t>
      </w:r>
      <w:r>
        <w:t>scenarios</w:t>
      </w:r>
      <w:r w:rsidR="00116E9E">
        <w:t xml:space="preserve">, </w:t>
      </w:r>
      <w:r w:rsidRPr="006E45CE">
        <w:rPr>
          <w:lang w:val="la-Latn"/>
        </w:rPr>
        <w:t>upper and lower bound values of the evacuation likely to occur during a seismic event</w:t>
      </w:r>
      <w:r>
        <w:t>,</w:t>
      </w:r>
      <w:r w:rsidRPr="006E45CE">
        <w:rPr>
          <w:lang w:val="la-Latn"/>
        </w:rPr>
        <w:t xml:space="preserve"> as well as the structural forces in the palisade wall piles</w:t>
      </w:r>
      <w:r w:rsidR="00116E9E">
        <w:t>, are estimated.</w:t>
      </w:r>
    </w:p>
    <w:p w14:paraId="476D9941" w14:textId="4074C79C" w:rsidR="00116E9E" w:rsidRDefault="00116E9E" w:rsidP="00116E9E">
      <w:pPr>
        <w:pStyle w:val="Heading2"/>
      </w:pPr>
      <w:r>
        <w:t>Assumptions</w:t>
      </w:r>
    </w:p>
    <w:p w14:paraId="4C6B8075" w14:textId="23420EE8" w:rsidR="00886035" w:rsidRDefault="00116E9E" w:rsidP="00116E9E">
      <w:r>
        <w:t xml:space="preserve">In order to better capture the strain-shear modulus relationship of the different soils, the hardening soil (HS) </w:t>
      </w:r>
      <w:r w:rsidR="006E1E70">
        <w:t>s</w:t>
      </w:r>
      <w:r>
        <w:t xml:space="preserve">mall </w:t>
      </w:r>
      <w:r w:rsidR="006E1E70">
        <w:t>s</w:t>
      </w:r>
      <w:r>
        <w:t xml:space="preserve">train soil constitutive model has been </w:t>
      </w:r>
      <w:r w:rsidR="00886035">
        <w:t xml:space="preserve">chosen for the majority of the </w:t>
      </w:r>
      <w:r w:rsidR="000C65E5">
        <w:t>sub</w:t>
      </w:r>
      <w:r w:rsidR="00886035">
        <w:t>soils in analysis</w:t>
      </w:r>
      <w:r w:rsidR="000C65E5">
        <w:t>, with the</w:t>
      </w:r>
      <w:r w:rsidR="00D91505">
        <w:t xml:space="preserve"> exception of the seawall itself and the liquefied sandy subsoils</w:t>
      </w:r>
      <w:r w:rsidR="00886035">
        <w:t>.</w:t>
      </w:r>
      <w:r w:rsidR="00D91505">
        <w:t xml:space="preserve">  For the latter, a Mohr-Coulomb soil material model has been assumed, with a 1MPa undrained Young’s modulus and maximum shear strengths of 7kPa.</w:t>
      </w:r>
    </w:p>
    <w:p w14:paraId="27880B0A" w14:textId="3842A8BB" w:rsidR="00A81A08" w:rsidRDefault="00940374" w:rsidP="00A81A08">
      <w:r>
        <w:t xml:space="preserve">According to </w:t>
      </w:r>
      <w:proofErr w:type="spellStart"/>
      <w:r>
        <w:t>Idriss</w:t>
      </w:r>
      <w:proofErr w:type="spellEnd"/>
      <w:r>
        <w:t xml:space="preserve"> and Boulanger (2008), the magnitude of strain or ground displacement that will reduce a clay’s undrained shear strength to its residual value is difficult to assess and will depend on its sensitivity.  </w:t>
      </w:r>
      <w:r w:rsidR="00A81A08">
        <w:t>For t</w:t>
      </w:r>
      <w:r w:rsidR="00D91505">
        <w:t xml:space="preserve">he fine-grained materials </w:t>
      </w:r>
      <w:r>
        <w:t xml:space="preserve">in analysis, and </w:t>
      </w:r>
      <w:r w:rsidR="00A81A08">
        <w:t xml:space="preserve">susceptible to cyclic softening, a reduction in their undrained shear strength to </w:t>
      </w:r>
      <w:r w:rsidR="00D91505" w:rsidRPr="00D91505">
        <w:t xml:space="preserve">80% of </w:t>
      </w:r>
      <w:r w:rsidR="00A81A08">
        <w:t xml:space="preserve">their </w:t>
      </w:r>
      <w:r w:rsidR="00D91505" w:rsidRPr="00D91505">
        <w:t>peak</w:t>
      </w:r>
      <w:r w:rsidR="004D61DC">
        <w:t xml:space="preserve"> has been adopted as suggested by Robertson and Cabal (2015)</w:t>
      </w:r>
      <w:r w:rsidR="00A81A08">
        <w:t xml:space="preserve">.  A </w:t>
      </w:r>
      <w:r w:rsidR="00D91505" w:rsidRPr="00D91505">
        <w:t xml:space="preserve">reduction to 80% of peak for </w:t>
      </w:r>
      <w:r w:rsidR="00A81A08">
        <w:t xml:space="preserve">fine-grained </w:t>
      </w:r>
      <w:r w:rsidR="00D91505" w:rsidRPr="00D91505">
        <w:t xml:space="preserve">material </w:t>
      </w:r>
      <w:r w:rsidR="00A81A08">
        <w:t xml:space="preserve">has been considered adequate </w:t>
      </w:r>
      <w:r w:rsidR="00D91505" w:rsidRPr="00D91505">
        <w:t>given the seismic environment of Auckland</w:t>
      </w:r>
      <w:r w:rsidR="00A81A08">
        <w:t xml:space="preserve">, with the materials not </w:t>
      </w:r>
      <w:r w:rsidR="00D91505" w:rsidRPr="00D91505">
        <w:t>cyclically soften</w:t>
      </w:r>
      <w:r w:rsidR="00A81A08">
        <w:t>ing</w:t>
      </w:r>
      <w:r w:rsidR="00D91505" w:rsidRPr="00D91505">
        <w:t xml:space="preserve"> further toward</w:t>
      </w:r>
      <w:r w:rsidR="00A81A08">
        <w:t>s</w:t>
      </w:r>
      <w:r w:rsidR="00D91505" w:rsidRPr="00D91505">
        <w:t xml:space="preserve"> residual strength</w:t>
      </w:r>
      <w:r w:rsidR="004D61DC">
        <w:t>, given that these have been classified as relatively insensitive (average sensitivity of 3)</w:t>
      </w:r>
      <w:r>
        <w:t xml:space="preserve"> in accordance with </w:t>
      </w:r>
      <w:proofErr w:type="spellStart"/>
      <w:r w:rsidR="004D61DC">
        <w:t>Idriss</w:t>
      </w:r>
      <w:proofErr w:type="spellEnd"/>
      <w:r w:rsidR="004D61DC">
        <w:t xml:space="preserve"> and Boulanger (2008)</w:t>
      </w:r>
      <w:r>
        <w:t>.</w:t>
      </w:r>
    </w:p>
    <w:p w14:paraId="643180DB" w14:textId="00705977" w:rsidR="00565760" w:rsidRDefault="00A81A08" w:rsidP="00116E9E">
      <w:r>
        <w:lastRenderedPageBreak/>
        <w:t xml:space="preserve">As mentioned in Section </w:t>
      </w:r>
      <w:r>
        <w:fldChar w:fldCharType="begin"/>
      </w:r>
      <w:r>
        <w:instrText xml:space="preserve"> REF _Ref34061884 \r \h </w:instrText>
      </w:r>
      <w:r>
        <w:fldChar w:fldCharType="separate"/>
      </w:r>
      <w:r w:rsidR="006506DC">
        <w:t>1</w:t>
      </w:r>
      <w:r>
        <w:fldChar w:fldCharType="end"/>
      </w:r>
      <w:r>
        <w:t xml:space="preserve">, the selection of the appropriate earthquake records has been based on a </w:t>
      </w:r>
      <w:r w:rsidRPr="00342709">
        <w:t>1D site response analysis</w:t>
      </w:r>
      <w:r>
        <w:t xml:space="preserve">.  </w:t>
      </w:r>
      <w:proofErr w:type="gramStart"/>
      <w:r w:rsidR="00565760">
        <w:t>A number of</w:t>
      </w:r>
      <w:proofErr w:type="gramEnd"/>
      <w:r w:rsidR="00565760">
        <w:t xml:space="preserve"> parameters </w:t>
      </w:r>
      <w:r w:rsidR="006E1E70">
        <w:t xml:space="preserve">were </w:t>
      </w:r>
      <w:r w:rsidR="00565760">
        <w:t xml:space="preserve">considered in the ground motions selection, which included shear wave velocities, ground motion records from </w:t>
      </w:r>
      <w:r w:rsidR="006E1E70">
        <w:t>n</w:t>
      </w:r>
      <w:r w:rsidR="00565760">
        <w:t>ormal faulting earthquakes and New Zealand specific ground motion records</w:t>
      </w:r>
      <w:r w:rsidR="006E1E70">
        <w:t>,</w:t>
      </w:r>
      <w:r w:rsidR="00565760">
        <w:t xml:space="preserve"> where available.</w:t>
      </w:r>
    </w:p>
    <w:p w14:paraId="543D1E8B" w14:textId="34A722EE" w:rsidR="00116E9E" w:rsidRDefault="00A81A08" w:rsidP="00116E9E">
      <w:proofErr w:type="gramStart"/>
      <w:r>
        <w:t>For the purpose of</w:t>
      </w:r>
      <w:proofErr w:type="gramEnd"/>
      <w:r>
        <w:t xml:space="preserve"> this paper the </w:t>
      </w:r>
      <w:r w:rsidRPr="00A81A08">
        <w:t xml:space="preserve">Pacific Earthquake Engineering Research </w:t>
      </w:r>
      <w:proofErr w:type="spellStart"/>
      <w:r w:rsidRPr="00A81A08">
        <w:t>Center</w:t>
      </w:r>
      <w:proofErr w:type="spellEnd"/>
      <w:r w:rsidRPr="00A81A08">
        <w:t xml:space="preserve"> </w:t>
      </w:r>
      <w:r>
        <w:t xml:space="preserve">(PEER) records summarised in Table 1 and Figure 3 have been used </w:t>
      </w:r>
      <w:r w:rsidR="00116E9E">
        <w:t>in the time history analyses</w:t>
      </w:r>
      <w:r>
        <w:t>.</w:t>
      </w:r>
    </w:p>
    <w:p w14:paraId="7B84CA9D" w14:textId="7AD14A1B" w:rsidR="00A81A08" w:rsidRPr="00AB5A91" w:rsidRDefault="00A81A08" w:rsidP="00A81A08">
      <w:pPr>
        <w:pStyle w:val="Caption"/>
      </w:pPr>
      <w:r w:rsidRPr="00AB5A91">
        <w:t xml:space="preserve">Table </w:t>
      </w:r>
      <w:fldSimple w:instr=" SEQ Table \* ARABIC ">
        <w:r w:rsidR="006506DC">
          <w:rPr>
            <w:noProof/>
          </w:rPr>
          <w:t>1</w:t>
        </w:r>
      </w:fldSimple>
      <w:r w:rsidRPr="00AB5A91">
        <w:t xml:space="preserve">: </w:t>
      </w:r>
      <w:r w:rsidRPr="002D5485">
        <w:t xml:space="preserve">Selected ground motion records </w:t>
      </w:r>
      <w:r>
        <w:t>for time history analysis</w:t>
      </w:r>
      <w:r w:rsidRPr="00AB5A91">
        <w:t>.</w:t>
      </w:r>
    </w:p>
    <w:tbl>
      <w:tblPr>
        <w:tblStyle w:val="TableGrid"/>
        <w:tblW w:w="0" w:type="auto"/>
        <w:tblLook w:val="04A0" w:firstRow="1" w:lastRow="0" w:firstColumn="1" w:lastColumn="0" w:noHBand="0" w:noVBand="1"/>
      </w:tblPr>
      <w:tblGrid>
        <w:gridCol w:w="2337"/>
        <w:gridCol w:w="2337"/>
        <w:gridCol w:w="432"/>
        <w:gridCol w:w="1906"/>
        <w:gridCol w:w="2338"/>
        <w:gridCol w:w="291"/>
      </w:tblGrid>
      <w:tr w:rsidR="00A81A08" w:rsidRPr="00371909" w14:paraId="3A225986" w14:textId="77777777" w:rsidTr="00024A6E">
        <w:trPr>
          <w:gridAfter w:val="1"/>
          <w:cnfStyle w:val="100000000000" w:firstRow="1" w:lastRow="0" w:firstColumn="0" w:lastColumn="0" w:oddVBand="0" w:evenVBand="0" w:oddHBand="0" w:evenHBand="0" w:firstRowFirstColumn="0" w:firstRowLastColumn="0" w:lastRowFirstColumn="0" w:lastRowLastColumn="0"/>
          <w:wAfter w:w="291" w:type="dxa"/>
        </w:trPr>
        <w:tc>
          <w:tcPr>
            <w:tcW w:w="2337" w:type="dxa"/>
            <w:tcBorders>
              <w:bottom w:val="single" w:sz="8" w:space="0" w:color="auto"/>
            </w:tcBorders>
          </w:tcPr>
          <w:p w14:paraId="7567A829" w14:textId="77777777" w:rsidR="00A81A08" w:rsidRPr="00024A6E" w:rsidRDefault="00A81A08" w:rsidP="007E7D39">
            <w:r w:rsidRPr="00024A6E">
              <w:t>PEER Record Number</w:t>
            </w:r>
          </w:p>
        </w:tc>
        <w:tc>
          <w:tcPr>
            <w:tcW w:w="2337" w:type="dxa"/>
            <w:tcBorders>
              <w:bottom w:val="single" w:sz="8" w:space="0" w:color="auto"/>
            </w:tcBorders>
          </w:tcPr>
          <w:p w14:paraId="24AB30FF" w14:textId="77777777" w:rsidR="00A81A08" w:rsidRPr="00024A6E" w:rsidRDefault="00A81A08" w:rsidP="007E7D39">
            <w:r w:rsidRPr="00024A6E">
              <w:t>Earthquake Name</w:t>
            </w:r>
          </w:p>
        </w:tc>
        <w:tc>
          <w:tcPr>
            <w:tcW w:w="2338" w:type="dxa"/>
            <w:gridSpan w:val="2"/>
            <w:tcBorders>
              <w:bottom w:val="single" w:sz="8" w:space="0" w:color="auto"/>
            </w:tcBorders>
          </w:tcPr>
          <w:p w14:paraId="5683631A" w14:textId="77777777" w:rsidR="00A81A08" w:rsidRPr="00024A6E" w:rsidRDefault="00A81A08" w:rsidP="007E7D39">
            <w:r w:rsidRPr="00024A6E">
              <w:t>Scale Factor 2500yr</w:t>
            </w:r>
          </w:p>
        </w:tc>
        <w:tc>
          <w:tcPr>
            <w:tcW w:w="2338" w:type="dxa"/>
            <w:tcBorders>
              <w:bottom w:val="single" w:sz="8" w:space="0" w:color="auto"/>
            </w:tcBorders>
          </w:tcPr>
          <w:p w14:paraId="097DCCB1" w14:textId="77777777" w:rsidR="00A81A08" w:rsidRPr="00024A6E" w:rsidRDefault="00A81A08" w:rsidP="007E7D39">
            <w:r w:rsidRPr="00024A6E">
              <w:t>Magnitude</w:t>
            </w:r>
          </w:p>
        </w:tc>
      </w:tr>
      <w:tr w:rsidR="00A81A08" w:rsidRPr="00371909" w14:paraId="5E5E93A1" w14:textId="77777777" w:rsidTr="0050109B">
        <w:trPr>
          <w:gridAfter w:val="1"/>
          <w:wAfter w:w="291" w:type="dxa"/>
          <w:trHeight w:hRule="exact" w:val="397"/>
        </w:trPr>
        <w:tc>
          <w:tcPr>
            <w:tcW w:w="2337" w:type="dxa"/>
            <w:tcBorders>
              <w:top w:val="single" w:sz="8" w:space="0" w:color="auto"/>
              <w:bottom w:val="nil"/>
            </w:tcBorders>
          </w:tcPr>
          <w:p w14:paraId="52D13E7F" w14:textId="77777777" w:rsidR="00A81A08" w:rsidRPr="00024A6E" w:rsidRDefault="00A81A08" w:rsidP="007E7D39">
            <w:r w:rsidRPr="00024A6E">
              <w:t>479</w:t>
            </w:r>
          </w:p>
        </w:tc>
        <w:tc>
          <w:tcPr>
            <w:tcW w:w="2337" w:type="dxa"/>
            <w:tcBorders>
              <w:top w:val="single" w:sz="8" w:space="0" w:color="auto"/>
              <w:bottom w:val="nil"/>
            </w:tcBorders>
          </w:tcPr>
          <w:p w14:paraId="40577FA7" w14:textId="77777777" w:rsidR="00A81A08" w:rsidRPr="00024A6E" w:rsidRDefault="00A81A08" w:rsidP="007E7D39">
            <w:r w:rsidRPr="00024A6E">
              <w:t>Lazio-</w:t>
            </w:r>
            <w:proofErr w:type="spellStart"/>
            <w:r w:rsidRPr="00024A6E">
              <w:t>Abruzzo_Italy</w:t>
            </w:r>
            <w:proofErr w:type="spellEnd"/>
          </w:p>
        </w:tc>
        <w:tc>
          <w:tcPr>
            <w:tcW w:w="2338" w:type="dxa"/>
            <w:gridSpan w:val="2"/>
            <w:tcBorders>
              <w:top w:val="single" w:sz="8" w:space="0" w:color="auto"/>
              <w:bottom w:val="nil"/>
            </w:tcBorders>
          </w:tcPr>
          <w:p w14:paraId="77C90A9F" w14:textId="77777777" w:rsidR="00A81A08" w:rsidRPr="00024A6E" w:rsidRDefault="00A81A08" w:rsidP="007E7D39">
            <w:r w:rsidRPr="00024A6E">
              <w:t>2.82</w:t>
            </w:r>
          </w:p>
        </w:tc>
        <w:tc>
          <w:tcPr>
            <w:tcW w:w="2338" w:type="dxa"/>
            <w:tcBorders>
              <w:top w:val="single" w:sz="8" w:space="0" w:color="auto"/>
              <w:bottom w:val="nil"/>
            </w:tcBorders>
          </w:tcPr>
          <w:p w14:paraId="76A9779C" w14:textId="77777777" w:rsidR="00A81A08" w:rsidRPr="00024A6E" w:rsidRDefault="00A81A08" w:rsidP="007E7D39">
            <w:r w:rsidRPr="00024A6E">
              <w:t>5.8</w:t>
            </w:r>
          </w:p>
        </w:tc>
      </w:tr>
      <w:tr w:rsidR="00A81A08" w:rsidRPr="00371909" w14:paraId="725ADB0A" w14:textId="77777777" w:rsidTr="0050109B">
        <w:trPr>
          <w:gridAfter w:val="1"/>
          <w:wAfter w:w="291" w:type="dxa"/>
          <w:trHeight w:hRule="exact" w:val="397"/>
        </w:trPr>
        <w:tc>
          <w:tcPr>
            <w:tcW w:w="2337" w:type="dxa"/>
            <w:tcBorders>
              <w:top w:val="nil"/>
              <w:bottom w:val="nil"/>
            </w:tcBorders>
          </w:tcPr>
          <w:p w14:paraId="6D528058" w14:textId="77777777" w:rsidR="00A81A08" w:rsidRPr="00024A6E" w:rsidRDefault="00A81A08" w:rsidP="007E7D39">
            <w:r w:rsidRPr="00024A6E">
              <w:t>3624</w:t>
            </w:r>
          </w:p>
        </w:tc>
        <w:tc>
          <w:tcPr>
            <w:tcW w:w="2337" w:type="dxa"/>
            <w:tcBorders>
              <w:top w:val="nil"/>
              <w:bottom w:val="nil"/>
            </w:tcBorders>
          </w:tcPr>
          <w:p w14:paraId="1112AFA6" w14:textId="77777777" w:rsidR="00A81A08" w:rsidRPr="00024A6E" w:rsidRDefault="00A81A08" w:rsidP="007E7D39">
            <w:r w:rsidRPr="00024A6E">
              <w:t>Taiwan SMART1(33)</w:t>
            </w:r>
          </w:p>
        </w:tc>
        <w:tc>
          <w:tcPr>
            <w:tcW w:w="2338" w:type="dxa"/>
            <w:gridSpan w:val="2"/>
            <w:tcBorders>
              <w:top w:val="nil"/>
              <w:bottom w:val="nil"/>
            </w:tcBorders>
          </w:tcPr>
          <w:p w14:paraId="14E93A90" w14:textId="77777777" w:rsidR="00A81A08" w:rsidRPr="00024A6E" w:rsidRDefault="00A81A08" w:rsidP="007E7D39">
            <w:r w:rsidRPr="00024A6E">
              <w:t>2.19</w:t>
            </w:r>
          </w:p>
        </w:tc>
        <w:tc>
          <w:tcPr>
            <w:tcW w:w="2338" w:type="dxa"/>
            <w:tcBorders>
              <w:top w:val="nil"/>
              <w:bottom w:val="nil"/>
            </w:tcBorders>
          </w:tcPr>
          <w:p w14:paraId="5278762F" w14:textId="77777777" w:rsidR="00A81A08" w:rsidRPr="00024A6E" w:rsidRDefault="00A81A08" w:rsidP="007E7D39">
            <w:r w:rsidRPr="00024A6E">
              <w:t>5.8</w:t>
            </w:r>
          </w:p>
        </w:tc>
      </w:tr>
      <w:tr w:rsidR="00A81A08" w:rsidRPr="00371909" w14:paraId="58326783" w14:textId="77777777" w:rsidTr="0050109B">
        <w:trPr>
          <w:gridAfter w:val="1"/>
          <w:wAfter w:w="291" w:type="dxa"/>
          <w:trHeight w:hRule="exact" w:val="397"/>
        </w:trPr>
        <w:tc>
          <w:tcPr>
            <w:tcW w:w="2337" w:type="dxa"/>
            <w:tcBorders>
              <w:top w:val="nil"/>
            </w:tcBorders>
          </w:tcPr>
          <w:p w14:paraId="2291F30A" w14:textId="77777777" w:rsidR="00A81A08" w:rsidRPr="00024A6E" w:rsidRDefault="00A81A08" w:rsidP="007E7D39">
            <w:r w:rsidRPr="00024A6E">
              <w:t>3861</w:t>
            </w:r>
          </w:p>
        </w:tc>
        <w:tc>
          <w:tcPr>
            <w:tcW w:w="2337" w:type="dxa"/>
            <w:tcBorders>
              <w:top w:val="nil"/>
            </w:tcBorders>
          </w:tcPr>
          <w:p w14:paraId="54258965" w14:textId="77777777" w:rsidR="00A81A08" w:rsidRPr="00024A6E" w:rsidRDefault="00A81A08" w:rsidP="007E7D39">
            <w:r w:rsidRPr="00024A6E">
              <w:t>Chi-Chi_Taiwan-05</w:t>
            </w:r>
          </w:p>
        </w:tc>
        <w:tc>
          <w:tcPr>
            <w:tcW w:w="2338" w:type="dxa"/>
            <w:gridSpan w:val="2"/>
            <w:tcBorders>
              <w:top w:val="nil"/>
            </w:tcBorders>
          </w:tcPr>
          <w:p w14:paraId="3F14BB76" w14:textId="77777777" w:rsidR="00A81A08" w:rsidRPr="00024A6E" w:rsidRDefault="00A81A08" w:rsidP="007E7D39">
            <w:r w:rsidRPr="00024A6E">
              <w:t>2.06</w:t>
            </w:r>
          </w:p>
        </w:tc>
        <w:tc>
          <w:tcPr>
            <w:tcW w:w="2338" w:type="dxa"/>
            <w:tcBorders>
              <w:top w:val="nil"/>
            </w:tcBorders>
          </w:tcPr>
          <w:p w14:paraId="19687A8E" w14:textId="77777777" w:rsidR="00A81A08" w:rsidRPr="00024A6E" w:rsidRDefault="00A81A08" w:rsidP="007E7D39">
            <w:r w:rsidRPr="00024A6E">
              <w:t>6.2</w:t>
            </w:r>
          </w:p>
        </w:tc>
      </w:tr>
      <w:tr w:rsidR="0017468F" w14:paraId="46B15261" w14:textId="2905B7DB" w:rsidTr="0017468F">
        <w:tblPrEx>
          <w:tblBorders>
            <w:bottom w:val="none" w:sz="0" w:space="0" w:color="auto"/>
            <w:insideH w:val="none" w:sz="0" w:space="0" w:color="auto"/>
          </w:tblBorders>
        </w:tblPrEx>
        <w:tc>
          <w:tcPr>
            <w:tcW w:w="5106" w:type="dxa"/>
            <w:gridSpan w:val="3"/>
          </w:tcPr>
          <w:p w14:paraId="19B16D0D" w14:textId="77777777" w:rsidR="0017468F" w:rsidRDefault="0017468F" w:rsidP="00F603EB">
            <w:pPr>
              <w:spacing w:after="0" w:line="240" w:lineRule="auto"/>
              <w:jc w:val="center"/>
            </w:pPr>
            <w:r>
              <w:rPr>
                <w:noProof/>
              </w:rPr>
              <w:drawing>
                <wp:inline distT="0" distB="0" distL="0" distR="0" wp14:anchorId="47C9D358" wp14:editId="2A17F702">
                  <wp:extent cx="2880000" cy="172212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722128"/>
                          </a:xfrm>
                          <a:prstGeom prst="rect">
                            <a:avLst/>
                          </a:prstGeom>
                          <a:noFill/>
                        </pic:spPr>
                      </pic:pic>
                    </a:graphicData>
                  </a:graphic>
                </wp:inline>
              </w:drawing>
            </w:r>
          </w:p>
        </w:tc>
        <w:tc>
          <w:tcPr>
            <w:tcW w:w="4535" w:type="dxa"/>
            <w:gridSpan w:val="3"/>
          </w:tcPr>
          <w:p w14:paraId="5B6B0F78" w14:textId="163F07F5" w:rsidR="0017468F" w:rsidRDefault="0017468F" w:rsidP="00F603EB">
            <w:pPr>
              <w:spacing w:after="0" w:line="240" w:lineRule="auto"/>
              <w:jc w:val="center"/>
              <w:rPr>
                <w:noProof/>
              </w:rPr>
            </w:pPr>
            <w:r>
              <w:rPr>
                <w:noProof/>
              </w:rPr>
              <w:drawing>
                <wp:inline distT="0" distB="0" distL="0" distR="0" wp14:anchorId="0B210BE3" wp14:editId="4D9A4C39">
                  <wp:extent cx="2880000" cy="17221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722127"/>
                          </a:xfrm>
                          <a:prstGeom prst="rect">
                            <a:avLst/>
                          </a:prstGeom>
                          <a:noFill/>
                        </pic:spPr>
                      </pic:pic>
                    </a:graphicData>
                  </a:graphic>
                </wp:inline>
              </w:drawing>
            </w:r>
          </w:p>
        </w:tc>
      </w:tr>
      <w:tr w:rsidR="0017468F" w14:paraId="1F1EB6EE" w14:textId="353D504D" w:rsidTr="00CE5D86">
        <w:tblPrEx>
          <w:tblBorders>
            <w:bottom w:val="none" w:sz="0" w:space="0" w:color="auto"/>
            <w:insideH w:val="none" w:sz="0" w:space="0" w:color="auto"/>
          </w:tblBorders>
        </w:tblPrEx>
        <w:tc>
          <w:tcPr>
            <w:tcW w:w="9641" w:type="dxa"/>
            <w:gridSpan w:val="6"/>
          </w:tcPr>
          <w:p w14:paraId="0C3E6E6C" w14:textId="2C233297" w:rsidR="0017468F" w:rsidRDefault="0017468F" w:rsidP="00F603EB">
            <w:pPr>
              <w:spacing w:after="0" w:line="240" w:lineRule="auto"/>
              <w:jc w:val="center"/>
              <w:rPr>
                <w:noProof/>
              </w:rPr>
            </w:pPr>
            <w:r>
              <w:rPr>
                <w:noProof/>
              </w:rPr>
              <w:drawing>
                <wp:inline distT="0" distB="0" distL="0" distR="0" wp14:anchorId="7DC44980" wp14:editId="7084704F">
                  <wp:extent cx="2880000" cy="17221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1722127"/>
                          </a:xfrm>
                          <a:prstGeom prst="rect">
                            <a:avLst/>
                          </a:prstGeom>
                          <a:noFill/>
                        </pic:spPr>
                      </pic:pic>
                    </a:graphicData>
                  </a:graphic>
                </wp:inline>
              </w:drawing>
            </w:r>
          </w:p>
        </w:tc>
      </w:tr>
    </w:tbl>
    <w:p w14:paraId="2C2FA204" w14:textId="5EABDFA2" w:rsidR="00A81A08" w:rsidRDefault="00A81A08" w:rsidP="00A81A08">
      <w:pPr>
        <w:pStyle w:val="Caption"/>
      </w:pPr>
      <w:r w:rsidRPr="00AB5A91">
        <w:t xml:space="preserve">Figure </w:t>
      </w:r>
      <w:r>
        <w:t>3</w:t>
      </w:r>
      <w:r w:rsidRPr="00AB5A91">
        <w:t xml:space="preserve">: </w:t>
      </w:r>
      <w:r>
        <w:t>Selected scaled ground motion records for time history analysis</w:t>
      </w:r>
    </w:p>
    <w:p w14:paraId="3A070646" w14:textId="443BF6BE" w:rsidR="00A81A08" w:rsidRDefault="00A81A08" w:rsidP="00A81A08">
      <w:pPr>
        <w:rPr>
          <w:lang w:val="la-Latn"/>
        </w:rPr>
      </w:pPr>
      <w:r w:rsidRPr="006E45CE">
        <w:rPr>
          <w:lang w:val="la-Latn"/>
        </w:rPr>
        <w:t>T</w:t>
      </w:r>
      <w:r>
        <w:t>o optimise analysis time</w:t>
      </w:r>
      <w:r w:rsidR="00BE668B">
        <w:t>,</w:t>
      </w:r>
      <w:r>
        <w:t xml:space="preserve"> </w:t>
      </w:r>
      <w:r w:rsidR="00BE668B">
        <w:t xml:space="preserve">and since </w:t>
      </w:r>
      <w:r>
        <w:t>t</w:t>
      </w:r>
      <w:r w:rsidRPr="006E45CE">
        <w:rPr>
          <w:lang w:val="la-Latn"/>
        </w:rPr>
        <w:t xml:space="preserve">he selected earthquake records have tail ends with circa null acceleration, </w:t>
      </w:r>
      <w:r w:rsidR="00BE668B">
        <w:t xml:space="preserve">these </w:t>
      </w:r>
      <w:r w:rsidRPr="006E45CE">
        <w:rPr>
          <w:lang w:val="la-Latn"/>
        </w:rPr>
        <w:t xml:space="preserve">have been shortened to optimise analysis time. </w:t>
      </w:r>
      <w:r w:rsidR="00BE668B">
        <w:t xml:space="preserve"> </w:t>
      </w:r>
      <w:r w:rsidRPr="006E45CE">
        <w:rPr>
          <w:lang w:val="la-Latn"/>
        </w:rPr>
        <w:t>Each of the scaled earthquake records has been introduced at the base of the FE models and allowed to freely amplify within it, with horizontal accelerations at both surface and rockhead levels monitored throughout the time history analysis.</w:t>
      </w:r>
    </w:p>
    <w:p w14:paraId="2D9E743A" w14:textId="36D012A7" w:rsidR="00116E9E" w:rsidRDefault="00116E9E" w:rsidP="00116E9E">
      <w:r>
        <w:t>For the calibration procedure, it has also been assumed, at rockhead level, a site subsoil classification of Class B is appropriate for design, in accordance with the Bridge Manual</w:t>
      </w:r>
      <w:r w:rsidR="00BE668B">
        <w:t xml:space="preserve"> (</w:t>
      </w:r>
      <w:r w:rsidR="006C5E34">
        <w:t>NZTA 2016</w:t>
      </w:r>
      <w:r w:rsidR="00BE668B">
        <w:t xml:space="preserve">). </w:t>
      </w:r>
      <w:r>
        <w:t xml:space="preserve"> As a result, the earthquake records listed above, and applied at the bottom of the FE models, have been scaled to ensure that the measured horizontal accelerations at rockhead level were consistent with a Class B subsoil response.</w:t>
      </w:r>
    </w:p>
    <w:p w14:paraId="2BF7CDA1" w14:textId="77777777" w:rsidR="00036D51" w:rsidRDefault="00036D51" w:rsidP="00036D51">
      <w:pPr>
        <w:pStyle w:val="Heading2"/>
      </w:pPr>
      <w:r>
        <w:lastRenderedPageBreak/>
        <w:t>Calibration</w:t>
      </w:r>
    </w:p>
    <w:p w14:paraId="3A9B958C" w14:textId="7F53B759" w:rsidR="00565760" w:rsidRDefault="00565760" w:rsidP="00036D51">
      <w:r>
        <w:t>T</w:t>
      </w:r>
      <w:r w:rsidR="00BE668B">
        <w:t xml:space="preserve">he calibration exercise has </w:t>
      </w:r>
      <w:r>
        <w:t xml:space="preserve">mostly comprised of </w:t>
      </w:r>
      <w:r w:rsidR="00BE668B">
        <w:t xml:space="preserve">an iterative process </w:t>
      </w:r>
      <w:r>
        <w:t>of discretely adjusting the scaling factor of each earthquake record, at each design cross section of analysis, and measuring how the motion amplifies through the model.  To minimise the effect of the presence of the seawall on this calibration procedure, monitoring points a minimum of 50m away from the seawall have been used in the numerical models.  Figure 4 illustrate</w:t>
      </w:r>
      <w:r w:rsidR="00A235DF">
        <w:t>s</w:t>
      </w:r>
      <w:r>
        <w:t xml:space="preserve"> </w:t>
      </w:r>
      <w:r w:rsidR="00A235DF">
        <w:t xml:space="preserve">a </w:t>
      </w:r>
      <w:r>
        <w:t>typical output of h</w:t>
      </w:r>
      <w:r w:rsidRPr="00565760">
        <w:t xml:space="preserve">orizontal acceleration at </w:t>
      </w:r>
      <w:r w:rsidR="006C5E34">
        <w:t>the base of the model and at</w:t>
      </w:r>
      <w:r>
        <w:t xml:space="preserve"> </w:t>
      </w:r>
      <w:r w:rsidRPr="00565760">
        <w:t>rockhead</w:t>
      </w:r>
      <w:r>
        <w:t xml:space="preserve"> </w:t>
      </w:r>
      <w:r w:rsidRPr="00565760">
        <w:t xml:space="preserve">and </w:t>
      </w:r>
      <w:r>
        <w:t xml:space="preserve">for one </w:t>
      </w:r>
      <w:proofErr w:type="gramStart"/>
      <w:r>
        <w:t>particular earthquake</w:t>
      </w:r>
      <w:proofErr w:type="gramEnd"/>
      <w:r>
        <w:t xml:space="preserve"> record at one of the design sections.</w:t>
      </w:r>
    </w:p>
    <w:tbl>
      <w:tblPr>
        <w:tblStyle w:val="TableGrid"/>
        <w:tblW w:w="0" w:type="auto"/>
        <w:tblBorders>
          <w:bottom w:val="none" w:sz="0" w:space="0" w:color="auto"/>
          <w:insideH w:val="none" w:sz="0" w:space="0" w:color="auto"/>
        </w:tblBorders>
        <w:tblLook w:val="04A0" w:firstRow="1" w:lastRow="0" w:firstColumn="1" w:lastColumn="0" w:noHBand="0" w:noVBand="1"/>
      </w:tblPr>
      <w:tblGrid>
        <w:gridCol w:w="4508"/>
        <w:gridCol w:w="4508"/>
      </w:tblGrid>
      <w:tr w:rsidR="00565760" w:rsidRPr="00A569D6" w14:paraId="64E8BCB5" w14:textId="77777777" w:rsidTr="00565760">
        <w:trPr>
          <w:cnfStyle w:val="100000000000" w:firstRow="1" w:lastRow="0" w:firstColumn="0" w:lastColumn="0" w:oddVBand="0" w:evenVBand="0" w:oddHBand="0" w:evenHBand="0" w:firstRowFirstColumn="0" w:firstRowLastColumn="0" w:lastRowFirstColumn="0" w:lastRowLastColumn="0"/>
        </w:trPr>
        <w:tc>
          <w:tcPr>
            <w:tcW w:w="45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E6545" w14:textId="1ACDED63" w:rsidR="00565760" w:rsidRPr="00A569D6" w:rsidRDefault="006C5E34" w:rsidP="007E7D39">
            <w:r>
              <w:rPr>
                <w:noProof/>
              </w:rPr>
              <w:drawing>
                <wp:inline distT="0" distB="0" distL="0" distR="0" wp14:anchorId="0065FB26" wp14:editId="586068BA">
                  <wp:extent cx="2695718" cy="171000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718" cy="1710000"/>
                          </a:xfrm>
                          <a:prstGeom prst="rect">
                            <a:avLst/>
                          </a:prstGeom>
                          <a:noFill/>
                        </pic:spPr>
                      </pic:pic>
                    </a:graphicData>
                  </a:graphic>
                </wp:inline>
              </w:drawing>
            </w:r>
          </w:p>
        </w:tc>
        <w:tc>
          <w:tcPr>
            <w:tcW w:w="45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2FEECB" w14:textId="466316DF" w:rsidR="00565760" w:rsidRPr="00A569D6" w:rsidRDefault="006C5E34" w:rsidP="007E7D39">
            <w:r w:rsidRPr="00A569D6">
              <w:rPr>
                <w:noProof/>
              </w:rPr>
              <w:drawing>
                <wp:inline distT="0" distB="0" distL="0" distR="0" wp14:anchorId="62713463" wp14:editId="7E71BA15">
                  <wp:extent cx="2718623" cy="1710000"/>
                  <wp:effectExtent l="0" t="0" r="5715" b="508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8623" cy="1710000"/>
                          </a:xfrm>
                          <a:prstGeom prst="rect">
                            <a:avLst/>
                          </a:prstGeom>
                          <a:noFill/>
                        </pic:spPr>
                      </pic:pic>
                    </a:graphicData>
                  </a:graphic>
                </wp:inline>
              </w:drawing>
            </w:r>
          </w:p>
        </w:tc>
      </w:tr>
    </w:tbl>
    <w:p w14:paraId="4F19A18C" w14:textId="1E8F4FA6" w:rsidR="00565760" w:rsidRDefault="00565760" w:rsidP="00565760">
      <w:pPr>
        <w:pStyle w:val="Caption"/>
      </w:pPr>
      <w:r w:rsidRPr="00AB5A91">
        <w:t xml:space="preserve">Figure </w:t>
      </w:r>
      <w:r>
        <w:t>4</w:t>
      </w:r>
      <w:r w:rsidRPr="00AB5A91">
        <w:t xml:space="preserve">: </w:t>
      </w:r>
      <w:r w:rsidR="006C5E34">
        <w:t>Example of h</w:t>
      </w:r>
      <w:r w:rsidRPr="00A569D6">
        <w:t xml:space="preserve">orizontal acceleration plots at </w:t>
      </w:r>
      <w:r w:rsidR="006C5E34">
        <w:t xml:space="preserve">base of model </w:t>
      </w:r>
      <w:r>
        <w:t>(left)</w:t>
      </w:r>
      <w:r w:rsidRPr="00A569D6">
        <w:t xml:space="preserve"> and </w:t>
      </w:r>
      <w:r w:rsidR="006C5E34">
        <w:t>rockhead</w:t>
      </w:r>
      <w:r>
        <w:t xml:space="preserve"> (right)</w:t>
      </w:r>
      <w:r w:rsidRPr="00A569D6">
        <w:t xml:space="preserve"> for earthquake record </w:t>
      </w:r>
      <w:r>
        <w:t>R</w:t>
      </w:r>
      <w:r w:rsidRPr="00A569D6">
        <w:t>SN479</w:t>
      </w:r>
      <w:r>
        <w:t>.</w:t>
      </w:r>
    </w:p>
    <w:p w14:paraId="58730025" w14:textId="2EC3DF5D" w:rsidR="006506DC" w:rsidRDefault="00FB3DBC" w:rsidP="00A235DF">
      <w:r w:rsidRPr="007448A2">
        <w:rPr>
          <w:noProof/>
        </w:rPr>
        <mc:AlternateContent>
          <mc:Choice Requires="wps">
            <w:drawing>
              <wp:anchor distT="0" distB="0" distL="114300" distR="114300" simplePos="0" relativeHeight="251659264" behindDoc="0" locked="0" layoutInCell="1" allowOverlap="1" wp14:anchorId="78F5C590" wp14:editId="386D2318">
                <wp:simplePos x="0" y="0"/>
                <wp:positionH relativeFrom="margin">
                  <wp:posOffset>3810</wp:posOffset>
                </wp:positionH>
                <wp:positionV relativeFrom="paragraph">
                  <wp:posOffset>1597660</wp:posOffset>
                </wp:positionV>
                <wp:extent cx="3105150" cy="381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105150" cy="381635"/>
                        </a:xfrm>
                        <a:prstGeom prst="rect">
                          <a:avLst/>
                        </a:prstGeom>
                        <a:solidFill>
                          <a:prstClr val="white"/>
                        </a:solidFill>
                        <a:ln>
                          <a:noFill/>
                        </a:ln>
                      </wps:spPr>
                      <wps:txbx>
                        <w:txbxContent>
                          <w:p w14:paraId="73461E22" w14:textId="68610383" w:rsidR="006506DC" w:rsidRPr="000F5837" w:rsidRDefault="006506DC" w:rsidP="006506DC">
                            <w:pPr>
                              <w:pStyle w:val="Caption"/>
                            </w:pPr>
                            <w:r>
                              <w:t>Figure 5:</w:t>
                            </w:r>
                            <w:r w:rsidRPr="00AB5A91">
                              <w:t xml:space="preserve"> </w:t>
                            </w:r>
                            <w:r>
                              <w:t>Example of m</w:t>
                            </w:r>
                            <w:r w:rsidRPr="00565760">
                              <w:t xml:space="preserve">easured PSA at surface and rockhead for earthquake record </w:t>
                            </w:r>
                            <w:r>
                              <w:t>R</w:t>
                            </w:r>
                            <w:r w:rsidRPr="00565760">
                              <w:t>SN</w:t>
                            </w:r>
                            <w:r>
                              <w:t>3624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5C590" id="Text Box 2" o:spid="_x0000_s1028" type="#_x0000_t202" style="position:absolute;margin-left:.3pt;margin-top:125.8pt;width:244.5pt;height:3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lKLgIAAGcEAAAOAAAAZHJzL2Uyb0RvYy54bWysVE2P2yAQvVfqf0DcG8eJslpZcVZpVqkq&#10;RbsrJdWeCYYYCRgKJHb66zv4I9tue6p6wcPMMPDem/HyoTWaXIQPCmxJ88mUEmE5VMqeSvrtsP10&#10;T0mIzFZMgxUlvYpAH1YfPywbV4gZ1KAr4QkWsaFoXEnrGF2RZYHXwrAwAScsBiV4wyJu/SmrPGuw&#10;utHZbDq9yxrwlfPARQjofeyDdNXVl1Lw+CxlEJHokuLbYrf6bj2mNVstWXHyzNWKD89g//AKw5TF&#10;S2+lHllk5OzVH6WM4h4CyDjhYDKQUnHRYUA0+fQdmn3NnOiwIDnB3WgK/68sf7q8eKKqks4oscyg&#10;RAfRRvIZWjJL7DQuFJi0d5gWW3SjyqM/oDOBbqU36YtwCMaR5+uN21SMo3OeTxf5AkMcY/P7/G6+&#10;SGWyt9POh/hFgCHJKKlH7TpK2WUXYp86pqTLAmhVbZXWaZMCG+3JhaHOTa2iGIr/lqVtyrWQTvUF&#10;kydLEHsoyYrtsR0IGeAfoboieg999wTHtwrv27EQX5jHdkFUOALxGRepoSkpDBYlNfgff/OnfFQR&#10;o5Q02H4lDd/PzAtK9FeL+qZeHQ0/GsfRsGezAUSa43A53pl4wEc9mtKDecXJWKdbMMQsx7tKGkdz&#10;E/shwMniYr3ukrAjHYs7u3c8lR55PbSvzLtBlYh6PsHYmKx4J06f27O8PkeQqlMu8dqzONCN3dxp&#10;P0xeGpdf913W2/9h9RMAAP//AwBQSwMEFAAGAAgAAAAhANUXbIfdAAAACAEAAA8AAABkcnMvZG93&#10;bnJldi54bWxMj8FOwzAQRO9I/IO1SFwQdRKglBCngpbe4NBS9ezGSxIRryPbadK/ZznBbVYzejtT&#10;LCfbiRP60DpSkM4SEEiVMy3VCvafm9sFiBA1Gd05QgVnDLAsLy8KnRs30hZPu1gLhlDItYImxj6X&#10;MlQNWh1mrkdi78t5qyOfvpbG65HhtpNZksyl1S3xh0b3uGqw+t4NVsF87YdxS6ub9f7tXX/0dXZ4&#10;PR+Uur6aXp5BRJziXxh+63N1KLnT0Q1kguiYwTkF2UPKgu37xROLo4K7NH0EWRby/4DyBwAA//8D&#10;AFBLAQItABQABgAIAAAAIQC2gziS/gAAAOEBAAATAAAAAAAAAAAAAAAAAAAAAABbQ29udGVudF9U&#10;eXBlc10ueG1sUEsBAi0AFAAGAAgAAAAhADj9If/WAAAAlAEAAAsAAAAAAAAAAAAAAAAALwEAAF9y&#10;ZWxzLy5yZWxzUEsBAi0AFAAGAAgAAAAhABtXSUouAgAAZwQAAA4AAAAAAAAAAAAAAAAALgIAAGRy&#10;cy9lMm9Eb2MueG1sUEsBAi0AFAAGAAgAAAAhANUXbIfdAAAACAEAAA8AAAAAAAAAAAAAAAAAiAQA&#10;AGRycy9kb3ducmV2LnhtbFBLBQYAAAAABAAEAPMAAACSBQAAAAA=&#10;" stroked="f">
                <v:textbox inset="0,0,0,0">
                  <w:txbxContent>
                    <w:p w14:paraId="73461E22" w14:textId="68610383" w:rsidR="006506DC" w:rsidRPr="000F5837" w:rsidRDefault="006506DC" w:rsidP="006506DC">
                      <w:pPr>
                        <w:pStyle w:val="Caption"/>
                      </w:pPr>
                      <w:r>
                        <w:t>Figure 5:</w:t>
                      </w:r>
                      <w:r w:rsidRPr="00AB5A91">
                        <w:t xml:space="preserve"> </w:t>
                      </w:r>
                      <w:r>
                        <w:t>Example of m</w:t>
                      </w:r>
                      <w:r w:rsidRPr="00565760">
                        <w:t xml:space="preserve">easured PSA at surface and rockhead for earthquake record </w:t>
                      </w:r>
                      <w:r>
                        <w:t>R</w:t>
                      </w:r>
                      <w:r w:rsidRPr="00565760">
                        <w:t>SN</w:t>
                      </w:r>
                      <w:r>
                        <w:t>3624</w:t>
                      </w:r>
                    </w:p>
                  </w:txbxContent>
                </v:textbox>
                <w10:wrap type="square" anchorx="margin"/>
              </v:shape>
            </w:pict>
          </mc:Fallback>
        </mc:AlternateContent>
      </w:r>
      <w:r w:rsidR="006506DC" w:rsidRPr="00A569D6">
        <w:rPr>
          <w:noProof/>
        </w:rPr>
        <w:drawing>
          <wp:anchor distT="0" distB="0" distL="114300" distR="114300" simplePos="0" relativeHeight="251656192" behindDoc="0" locked="0" layoutInCell="1" allowOverlap="1" wp14:anchorId="54D7E676" wp14:editId="2586CAB3">
            <wp:simplePos x="0" y="0"/>
            <wp:positionH relativeFrom="column">
              <wp:posOffset>3810</wp:posOffset>
            </wp:positionH>
            <wp:positionV relativeFrom="paragraph">
              <wp:posOffset>6350</wp:posOffset>
            </wp:positionV>
            <wp:extent cx="3132455" cy="1590675"/>
            <wp:effectExtent l="0" t="0" r="0" b="9525"/>
            <wp:wrapSquare wrapText="bothSides"/>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2455" cy="1590675"/>
                    </a:xfrm>
                    <a:prstGeom prst="rect">
                      <a:avLst/>
                    </a:prstGeom>
                    <a:noFill/>
                  </pic:spPr>
                </pic:pic>
              </a:graphicData>
            </a:graphic>
            <wp14:sizeRelH relativeFrom="page">
              <wp14:pctWidth>0</wp14:pctWidth>
            </wp14:sizeRelH>
            <wp14:sizeRelV relativeFrom="page">
              <wp14:pctHeight>0</wp14:pctHeight>
            </wp14:sizeRelV>
          </wp:anchor>
        </w:drawing>
      </w:r>
      <w:r w:rsidR="00A235DF" w:rsidRPr="00565760">
        <w:t xml:space="preserve">The pseudo spectral acceleration (PSA) at both rockhead and surface have then been compared against the traces for Subsoil Classes B, C and D, as presented in Figure </w:t>
      </w:r>
      <w:r w:rsidR="00A235DF">
        <w:t>5</w:t>
      </w:r>
      <w:r w:rsidR="00A235DF" w:rsidRPr="00565760">
        <w:t>.  The PSA from PLAXIS has been determined for a damping ratio of 5% and a maximum period of 2s</w:t>
      </w:r>
      <w:r w:rsidR="00A235DF">
        <w:t xml:space="preserve"> and it </w:t>
      </w:r>
      <w:r w:rsidR="00A235DF" w:rsidRPr="00565760">
        <w:t>show</w:t>
      </w:r>
      <w:r w:rsidR="00A235DF">
        <w:t>s</w:t>
      </w:r>
      <w:r w:rsidR="00A235DF" w:rsidRPr="00565760">
        <w:t xml:space="preserve"> that the chosen amplification factors are consistent with a </w:t>
      </w:r>
      <w:r w:rsidR="00FD232A" w:rsidRPr="00565760">
        <w:t>subsoil Class B design spectrum</w:t>
      </w:r>
      <w:r w:rsidR="00A235DF" w:rsidRPr="00565760">
        <w:t xml:space="preserve"> at rockhead, and a </w:t>
      </w:r>
      <w:r w:rsidR="00B75163" w:rsidRPr="00565760">
        <w:t>subsoil Class C design spectrum</w:t>
      </w:r>
      <w:r w:rsidR="00A235DF" w:rsidRPr="00565760">
        <w:t xml:space="preserve"> at surface.</w:t>
      </w:r>
    </w:p>
    <w:p w14:paraId="4C9EE603" w14:textId="1C2826A3" w:rsidR="00FB3DBC" w:rsidRDefault="00FB3DBC" w:rsidP="00A235DF">
      <w:r>
        <w:br/>
      </w:r>
    </w:p>
    <w:p w14:paraId="0616DEC1" w14:textId="563CB20C" w:rsidR="00036D51" w:rsidRDefault="00036D51" w:rsidP="006506DC">
      <w:pPr>
        <w:pStyle w:val="Heading3"/>
      </w:pPr>
      <w:r>
        <w:t>Outputs of the dynamic analysis</w:t>
      </w:r>
    </w:p>
    <w:p w14:paraId="41AD994A" w14:textId="7EFEE938" w:rsidR="004E2CB1" w:rsidRDefault="00855C76" w:rsidP="00855C76">
      <w:r>
        <w:t>As outlined by Neves and Naylor (2020) in their s</w:t>
      </w:r>
      <w:r w:rsidRPr="00855C76">
        <w:t xml:space="preserve">implified design </w:t>
      </w:r>
      <w:r w:rsidR="0083506D">
        <w:t xml:space="preserve">approach </w:t>
      </w:r>
      <w:r>
        <w:t xml:space="preserve">for this </w:t>
      </w:r>
      <w:r w:rsidR="004E2CB1">
        <w:t>sort of problem, there are two crucial inputs that impact on their proposals</w:t>
      </w:r>
      <w:r w:rsidR="006506DC">
        <w:t xml:space="preserve"> (both validated as part of the dynamic FE analysis</w:t>
      </w:r>
      <w:r w:rsidR="00B1670C">
        <w:t>)</w:t>
      </w:r>
      <w:r w:rsidR="004E2CB1">
        <w:t>:</w:t>
      </w:r>
    </w:p>
    <w:p w14:paraId="24084D8E" w14:textId="7F5F04FF" w:rsidR="004E2CB1" w:rsidRDefault="004E2CB1" w:rsidP="00FD232A">
      <w:pPr>
        <w:pStyle w:val="ListParagraph"/>
        <w:numPr>
          <w:ilvl w:val="0"/>
          <w:numId w:val="9"/>
        </w:numPr>
      </w:pPr>
      <w:r>
        <w:t xml:space="preserve">Depth of evacuation – which controls the post-earthquake retained height and, although it can be initially estimated using </w:t>
      </w:r>
      <w:r w:rsidRPr="004E2CB1">
        <w:t>LE pseudo-static models</w:t>
      </w:r>
      <w:r>
        <w:t>, may require numerical modelling d</w:t>
      </w:r>
      <w:r w:rsidRPr="004E2CB1">
        <w:t>epending on the importance level of the structure to design</w:t>
      </w:r>
      <w:r>
        <w:t xml:space="preserve"> and</w:t>
      </w:r>
      <w:r w:rsidRPr="004E2CB1">
        <w:t xml:space="preserve"> the </w:t>
      </w:r>
      <w:r>
        <w:t>projected post-evacuation profile.</w:t>
      </w:r>
    </w:p>
    <w:p w14:paraId="6328D767" w14:textId="0EF36109" w:rsidR="004E2CB1" w:rsidRDefault="00FD232A" w:rsidP="00FD232A">
      <w:pPr>
        <w:pStyle w:val="ListParagraph"/>
        <w:numPr>
          <w:ilvl w:val="0"/>
          <w:numId w:val="9"/>
        </w:numPr>
      </w:pPr>
      <w:r>
        <w:t>Soil block movement – which informs the lateral soil displacement profile and its magnitude, thus governing the stresses the shear piles are subjected to.</w:t>
      </w:r>
    </w:p>
    <w:p w14:paraId="3A57A0E6" w14:textId="5C985EA5" w:rsidR="00036D51" w:rsidRPr="00036D51" w:rsidRDefault="00036D51" w:rsidP="00036D51">
      <w:pPr>
        <w:pStyle w:val="Heading3"/>
      </w:pPr>
      <w:r>
        <w:t>Depth of evacuation</w:t>
      </w:r>
    </w:p>
    <w:p w14:paraId="4448E65F" w14:textId="5037DF57" w:rsidR="0083506D" w:rsidRDefault="0083506D" w:rsidP="0083506D">
      <w:r>
        <w:t xml:space="preserve">The </w:t>
      </w:r>
      <w:r w:rsidRPr="00A569D6">
        <w:t xml:space="preserve">dynamic </w:t>
      </w:r>
      <w:r>
        <w:t xml:space="preserve">analysis has </w:t>
      </w:r>
      <w:r w:rsidRPr="00A569D6">
        <w:t>corroborated that</w:t>
      </w:r>
      <w:r>
        <w:t>,</w:t>
      </w:r>
      <w:r w:rsidRPr="00A569D6">
        <w:t xml:space="preserve"> throughout the design seismic event, evacuation may occur on some of the </w:t>
      </w:r>
      <w:r>
        <w:t xml:space="preserve">cross </w:t>
      </w:r>
      <w:r w:rsidRPr="00A569D6">
        <w:t>sections of the proposed palisade wall</w:t>
      </w:r>
      <w:r>
        <w:t xml:space="preserve">.  This will naturally </w:t>
      </w:r>
      <w:r w:rsidRPr="00A569D6">
        <w:t>contribut</w:t>
      </w:r>
      <w:r>
        <w:t>e</w:t>
      </w:r>
      <w:r w:rsidRPr="00A569D6">
        <w:t xml:space="preserve"> to a reduction in lateral support</w:t>
      </w:r>
      <w:r>
        <w:t xml:space="preserve"> and </w:t>
      </w:r>
      <w:r w:rsidRPr="00A569D6">
        <w:t>increased pile deflections</w:t>
      </w:r>
      <w:r>
        <w:t xml:space="preserve">, which </w:t>
      </w:r>
      <w:r w:rsidRPr="00A569D6">
        <w:t>corroborate</w:t>
      </w:r>
      <w:r>
        <w:t>s</w:t>
      </w:r>
      <w:r w:rsidRPr="00A569D6">
        <w:t xml:space="preserve"> the original assumption </w:t>
      </w:r>
      <w:r>
        <w:t xml:space="preserve">in Neves and Naylor (2020) </w:t>
      </w:r>
      <w:r w:rsidRPr="00A569D6">
        <w:t>that the palisade wall acts as a flexible</w:t>
      </w:r>
      <w:r>
        <w:t xml:space="preserve"> system.  Therefore, it is appropriate to adopt </w:t>
      </w:r>
      <w:r w:rsidRPr="00A569D6">
        <w:t xml:space="preserve">yield </w:t>
      </w:r>
      <w:r w:rsidRPr="00A569D6">
        <w:lastRenderedPageBreak/>
        <w:t xml:space="preserve">accelerations </w:t>
      </w:r>
      <w:r>
        <w:t xml:space="preserve">within the displacement compatibility procedure of the proposed simplified design approach, as opposed </w:t>
      </w:r>
      <w:r w:rsidRPr="00A569D6">
        <w:t>to considering full seismic load.</w:t>
      </w:r>
    </w:p>
    <w:p w14:paraId="43CE017F" w14:textId="21BF0676" w:rsidR="007E7D39" w:rsidRPr="007E7D39" w:rsidRDefault="007E7D39" w:rsidP="0083506D">
      <w:r>
        <w:t xml:space="preserve">On the other hand, the depth of evacuation has also been found to be heavily dependent on the subsoil material properties.  In fact, for </w:t>
      </w:r>
      <w:r w:rsidR="003B5EEC">
        <w:t xml:space="preserve">the </w:t>
      </w:r>
      <w:r>
        <w:t xml:space="preserve">two different scenarios described in Section </w:t>
      </w:r>
      <w:r>
        <w:fldChar w:fldCharType="begin"/>
      </w:r>
      <w:r>
        <w:instrText xml:space="preserve"> REF _Ref34066250 \r \h </w:instrText>
      </w:r>
      <w:r>
        <w:fldChar w:fldCharType="separate"/>
      </w:r>
      <w:r w:rsidR="006506DC">
        <w:t>2.1</w:t>
      </w:r>
      <w:r>
        <w:fldChar w:fldCharType="end"/>
      </w:r>
      <w:r>
        <w:t xml:space="preserve">, entirely different depths of evacuation </w:t>
      </w:r>
      <w:r w:rsidR="003B5EEC">
        <w:t xml:space="preserve">have been </w:t>
      </w:r>
      <w:r>
        <w:t xml:space="preserve">estimated, with larger values derived for </w:t>
      </w:r>
      <w:r w:rsidRPr="003C4BDD">
        <w:rPr>
          <w:lang w:val="la-Latn"/>
        </w:rPr>
        <w:t xml:space="preserve">fully liquefied/cyclic softened </w:t>
      </w:r>
      <w:r>
        <w:rPr>
          <w:lang w:val="la-Latn"/>
        </w:rPr>
        <w:t>conditions</w:t>
      </w:r>
      <w:r>
        <w:t>.</w:t>
      </w:r>
      <w:r w:rsidR="00024A6E">
        <w:t xml:space="preserve">  Table 2 summarises the depth of </w:t>
      </w:r>
      <w:r w:rsidR="00024A6E" w:rsidRPr="00A569D6">
        <w:t>evacuation</w:t>
      </w:r>
      <w:r w:rsidR="00024A6E">
        <w:t xml:space="preserve"> and maximum horizontal deflection of the palisade wall at one of the design sections.</w:t>
      </w:r>
    </w:p>
    <w:p w14:paraId="44E6EBCF" w14:textId="41478A18" w:rsidR="00024A6E" w:rsidRPr="00AB5A91" w:rsidRDefault="00024A6E" w:rsidP="00024A6E">
      <w:pPr>
        <w:pStyle w:val="Caption"/>
      </w:pPr>
      <w:r w:rsidRPr="00AB5A91">
        <w:t xml:space="preserve">Table </w:t>
      </w:r>
      <w:fldSimple w:instr=" SEQ Table \* ARABIC ">
        <w:r w:rsidR="006506DC">
          <w:rPr>
            <w:noProof/>
          </w:rPr>
          <w:t>2</w:t>
        </w:r>
      </w:fldSimple>
      <w:r w:rsidRPr="00AB5A91">
        <w:t xml:space="preserve">: </w:t>
      </w:r>
      <w:r>
        <w:t>Summary of total displacements in front of the seawall and associated depths of evacuation</w:t>
      </w:r>
      <w:r w:rsidR="003B5EEC">
        <w:t xml:space="preserve"> for the design cross section.</w:t>
      </w:r>
    </w:p>
    <w:tbl>
      <w:tblPr>
        <w:tblStyle w:val="TableGrid"/>
        <w:tblW w:w="0" w:type="auto"/>
        <w:tblLook w:val="04A0" w:firstRow="1" w:lastRow="0" w:firstColumn="1" w:lastColumn="0" w:noHBand="0" w:noVBand="1"/>
      </w:tblPr>
      <w:tblGrid>
        <w:gridCol w:w="1671"/>
        <w:gridCol w:w="4353"/>
        <w:gridCol w:w="3617"/>
      </w:tblGrid>
      <w:tr w:rsidR="00024A6E" w:rsidRPr="00A569D6" w14:paraId="3D6BD30C" w14:textId="77777777" w:rsidTr="00705D7F">
        <w:trPr>
          <w:cnfStyle w:val="100000000000" w:firstRow="1" w:lastRow="0" w:firstColumn="0" w:lastColumn="0" w:oddVBand="0" w:evenVBand="0" w:oddHBand="0" w:evenHBand="0" w:firstRowFirstColumn="0" w:firstRowLastColumn="0" w:lastRowFirstColumn="0" w:lastRowLastColumn="0"/>
          <w:trHeight w:hRule="exact" w:val="624"/>
          <w:tblHeader/>
        </w:trPr>
        <w:tc>
          <w:tcPr>
            <w:tcW w:w="0" w:type="auto"/>
            <w:tcBorders>
              <w:bottom w:val="single" w:sz="2" w:space="0" w:color="1D1D1B" w:themeColor="text1"/>
            </w:tcBorders>
          </w:tcPr>
          <w:p w14:paraId="0AF36F74" w14:textId="77777777" w:rsidR="00024A6E" w:rsidRPr="00A569D6" w:rsidRDefault="00024A6E" w:rsidP="001C115E">
            <w:pPr>
              <w:spacing w:after="0" w:line="240" w:lineRule="auto"/>
            </w:pPr>
            <w:r w:rsidRPr="00A569D6">
              <w:t>Earthquake records</w:t>
            </w:r>
          </w:p>
        </w:tc>
        <w:tc>
          <w:tcPr>
            <w:tcW w:w="0" w:type="auto"/>
            <w:tcBorders>
              <w:bottom w:val="single" w:sz="2" w:space="0" w:color="1D1D1B" w:themeColor="text1"/>
            </w:tcBorders>
          </w:tcPr>
          <w:p w14:paraId="38075942" w14:textId="04578E90" w:rsidR="00024A6E" w:rsidRPr="00024A6E" w:rsidRDefault="00024A6E" w:rsidP="001C115E">
            <w:pPr>
              <w:spacing w:after="0" w:line="240" w:lineRule="auto"/>
            </w:pPr>
            <w:r w:rsidRPr="00A569D6">
              <w:t xml:space="preserve">Maximum </w:t>
            </w:r>
            <w:r>
              <w:t xml:space="preserve">total </w:t>
            </w:r>
            <w:r w:rsidRPr="00A569D6">
              <w:t>displacement in front of palisade wall</w:t>
            </w:r>
            <w:r w:rsidR="001C115E">
              <w:t xml:space="preserve"> </w:t>
            </w:r>
            <w:r w:rsidRPr="00A569D6">
              <w:t>[mm]</w:t>
            </w:r>
          </w:p>
        </w:tc>
        <w:tc>
          <w:tcPr>
            <w:tcW w:w="0" w:type="auto"/>
            <w:tcBorders>
              <w:bottom w:val="single" w:sz="2" w:space="0" w:color="1D1D1B" w:themeColor="text1"/>
            </w:tcBorders>
          </w:tcPr>
          <w:p w14:paraId="0CF80196" w14:textId="0A3391C7" w:rsidR="00024A6E" w:rsidRPr="00A569D6" w:rsidRDefault="00024A6E" w:rsidP="001C115E">
            <w:pPr>
              <w:spacing w:after="0" w:line="240" w:lineRule="auto"/>
            </w:pPr>
            <w:r w:rsidRPr="00A569D6">
              <w:t>Depth of evacuation from top of palisade wall</w:t>
            </w:r>
            <w:r w:rsidR="001C115E">
              <w:t xml:space="preserve"> </w:t>
            </w:r>
            <w:r w:rsidRPr="00A569D6">
              <w:t>[m]</w:t>
            </w:r>
          </w:p>
        </w:tc>
      </w:tr>
      <w:tr w:rsidR="00024A6E" w:rsidRPr="00A569D6" w14:paraId="3E6F7680" w14:textId="77777777" w:rsidTr="00705D7F">
        <w:trPr>
          <w:trHeight w:hRule="exact" w:val="397"/>
        </w:trPr>
        <w:tc>
          <w:tcPr>
            <w:tcW w:w="9641" w:type="dxa"/>
            <w:gridSpan w:val="3"/>
          </w:tcPr>
          <w:p w14:paraId="24550F38" w14:textId="26EA124B" w:rsidR="00024A6E" w:rsidRPr="00024A6E" w:rsidRDefault="00024A6E" w:rsidP="001C115E">
            <w:pPr>
              <w:spacing w:after="0" w:line="240" w:lineRule="auto"/>
              <w:rPr>
                <w:i/>
                <w:iCs/>
                <w:u w:val="single"/>
              </w:rPr>
            </w:pPr>
            <w:r w:rsidRPr="00024A6E">
              <w:rPr>
                <w:i/>
                <w:iCs/>
                <w:u w:val="single"/>
              </w:rPr>
              <w:t>Full strength soil properties</w:t>
            </w:r>
          </w:p>
        </w:tc>
      </w:tr>
      <w:tr w:rsidR="00024A6E" w:rsidRPr="00A569D6" w14:paraId="5D754921" w14:textId="77777777" w:rsidTr="00705D7F">
        <w:trPr>
          <w:trHeight w:hRule="exact" w:val="397"/>
        </w:trPr>
        <w:tc>
          <w:tcPr>
            <w:tcW w:w="0" w:type="auto"/>
          </w:tcPr>
          <w:p w14:paraId="5521E2AB" w14:textId="77777777" w:rsidR="00024A6E" w:rsidRPr="00A569D6" w:rsidRDefault="00024A6E" w:rsidP="001C115E">
            <w:pPr>
              <w:spacing w:after="0" w:line="240" w:lineRule="auto"/>
            </w:pPr>
            <w:r w:rsidRPr="00A569D6">
              <w:t>RSN479</w:t>
            </w:r>
          </w:p>
        </w:tc>
        <w:tc>
          <w:tcPr>
            <w:tcW w:w="0" w:type="auto"/>
          </w:tcPr>
          <w:p w14:paraId="10018F9E" w14:textId="77777777" w:rsidR="00024A6E" w:rsidRPr="00A569D6" w:rsidRDefault="00024A6E" w:rsidP="001C115E">
            <w:pPr>
              <w:spacing w:after="0" w:line="240" w:lineRule="auto"/>
            </w:pPr>
            <w:r w:rsidRPr="00A569D6">
              <w:t>&lt;600</w:t>
            </w:r>
          </w:p>
        </w:tc>
        <w:tc>
          <w:tcPr>
            <w:tcW w:w="0" w:type="auto"/>
          </w:tcPr>
          <w:p w14:paraId="26EF5D8B" w14:textId="77777777" w:rsidR="00024A6E" w:rsidRPr="00A569D6" w:rsidRDefault="00024A6E" w:rsidP="001C115E">
            <w:pPr>
              <w:spacing w:after="0" w:line="240" w:lineRule="auto"/>
            </w:pPr>
            <w:r w:rsidRPr="00A569D6">
              <w:t>0.1</w:t>
            </w:r>
          </w:p>
        </w:tc>
      </w:tr>
      <w:tr w:rsidR="00024A6E" w:rsidRPr="00A569D6" w14:paraId="4275A295" w14:textId="77777777" w:rsidTr="00705D7F">
        <w:trPr>
          <w:trHeight w:hRule="exact" w:val="397"/>
        </w:trPr>
        <w:tc>
          <w:tcPr>
            <w:tcW w:w="0" w:type="auto"/>
          </w:tcPr>
          <w:p w14:paraId="77836F2C" w14:textId="77777777" w:rsidR="00024A6E" w:rsidRPr="00A569D6" w:rsidRDefault="00024A6E" w:rsidP="001C115E">
            <w:pPr>
              <w:spacing w:after="0" w:line="240" w:lineRule="auto"/>
            </w:pPr>
            <w:r w:rsidRPr="00A569D6">
              <w:t>RSN3624</w:t>
            </w:r>
          </w:p>
        </w:tc>
        <w:tc>
          <w:tcPr>
            <w:tcW w:w="0" w:type="auto"/>
          </w:tcPr>
          <w:p w14:paraId="084CD250" w14:textId="77777777" w:rsidR="00024A6E" w:rsidRPr="00A569D6" w:rsidRDefault="00024A6E" w:rsidP="001C115E">
            <w:pPr>
              <w:spacing w:after="0" w:line="240" w:lineRule="auto"/>
            </w:pPr>
            <w:r w:rsidRPr="00A569D6">
              <w:t>&lt;600</w:t>
            </w:r>
          </w:p>
        </w:tc>
        <w:tc>
          <w:tcPr>
            <w:tcW w:w="0" w:type="auto"/>
          </w:tcPr>
          <w:p w14:paraId="062D0D20" w14:textId="77777777" w:rsidR="00024A6E" w:rsidRPr="00A569D6" w:rsidRDefault="00024A6E" w:rsidP="001C115E">
            <w:pPr>
              <w:spacing w:after="0" w:line="240" w:lineRule="auto"/>
            </w:pPr>
            <w:r w:rsidRPr="00A569D6">
              <w:t>0.1</w:t>
            </w:r>
          </w:p>
        </w:tc>
      </w:tr>
      <w:tr w:rsidR="00024A6E" w:rsidRPr="00A569D6" w14:paraId="0932AFF7" w14:textId="77777777" w:rsidTr="00705D7F">
        <w:trPr>
          <w:trHeight w:hRule="exact" w:val="397"/>
        </w:trPr>
        <w:tc>
          <w:tcPr>
            <w:tcW w:w="0" w:type="auto"/>
          </w:tcPr>
          <w:p w14:paraId="35EB02E0" w14:textId="77777777" w:rsidR="00024A6E" w:rsidRPr="00A569D6" w:rsidRDefault="00024A6E" w:rsidP="001C115E">
            <w:pPr>
              <w:spacing w:after="0" w:line="240" w:lineRule="auto"/>
            </w:pPr>
            <w:r w:rsidRPr="00A569D6">
              <w:t>RSN3861</w:t>
            </w:r>
          </w:p>
        </w:tc>
        <w:tc>
          <w:tcPr>
            <w:tcW w:w="0" w:type="auto"/>
          </w:tcPr>
          <w:p w14:paraId="13DA0F90" w14:textId="77777777" w:rsidR="00024A6E" w:rsidRPr="00A569D6" w:rsidRDefault="00024A6E" w:rsidP="001C115E">
            <w:pPr>
              <w:spacing w:after="0" w:line="240" w:lineRule="auto"/>
            </w:pPr>
            <w:r w:rsidRPr="00A569D6">
              <w:t>&lt;600</w:t>
            </w:r>
          </w:p>
        </w:tc>
        <w:tc>
          <w:tcPr>
            <w:tcW w:w="0" w:type="auto"/>
          </w:tcPr>
          <w:p w14:paraId="2F93C607" w14:textId="77777777" w:rsidR="00024A6E" w:rsidRPr="00A569D6" w:rsidRDefault="00024A6E" w:rsidP="001C115E">
            <w:pPr>
              <w:spacing w:after="0" w:line="240" w:lineRule="auto"/>
            </w:pPr>
            <w:r w:rsidRPr="00A569D6">
              <w:t>0.1</w:t>
            </w:r>
          </w:p>
        </w:tc>
      </w:tr>
      <w:tr w:rsidR="00024A6E" w:rsidRPr="00A569D6" w14:paraId="11836DFB" w14:textId="77777777" w:rsidTr="00705D7F">
        <w:trPr>
          <w:trHeight w:hRule="exact" w:val="397"/>
        </w:trPr>
        <w:tc>
          <w:tcPr>
            <w:tcW w:w="9641" w:type="dxa"/>
            <w:gridSpan w:val="3"/>
          </w:tcPr>
          <w:p w14:paraId="64E76F51" w14:textId="216B1942" w:rsidR="00024A6E" w:rsidRPr="00024A6E" w:rsidRDefault="00024A6E" w:rsidP="001C115E">
            <w:pPr>
              <w:spacing w:after="0" w:line="240" w:lineRule="auto"/>
              <w:rPr>
                <w:i/>
                <w:iCs/>
                <w:u w:val="single"/>
              </w:rPr>
            </w:pPr>
            <w:r w:rsidRPr="00024A6E">
              <w:rPr>
                <w:i/>
                <w:iCs/>
                <w:u w:val="single"/>
              </w:rPr>
              <w:t>Fully liquefied/cyclic softened soil properties</w:t>
            </w:r>
          </w:p>
        </w:tc>
      </w:tr>
      <w:tr w:rsidR="00024A6E" w:rsidRPr="00A569D6" w14:paraId="67E4F68A" w14:textId="77777777" w:rsidTr="00705D7F">
        <w:trPr>
          <w:trHeight w:hRule="exact" w:val="397"/>
        </w:trPr>
        <w:tc>
          <w:tcPr>
            <w:tcW w:w="0" w:type="auto"/>
          </w:tcPr>
          <w:p w14:paraId="7A1EFD23" w14:textId="77777777" w:rsidR="00024A6E" w:rsidRPr="00A569D6" w:rsidRDefault="00024A6E" w:rsidP="001C115E">
            <w:pPr>
              <w:spacing w:after="0" w:line="240" w:lineRule="auto"/>
            </w:pPr>
            <w:r w:rsidRPr="00A569D6">
              <w:t>RSN479</w:t>
            </w:r>
          </w:p>
        </w:tc>
        <w:tc>
          <w:tcPr>
            <w:tcW w:w="0" w:type="auto"/>
          </w:tcPr>
          <w:p w14:paraId="11E22872" w14:textId="77777777" w:rsidR="00024A6E" w:rsidRPr="00A569D6" w:rsidRDefault="00024A6E" w:rsidP="001C115E">
            <w:pPr>
              <w:spacing w:after="0" w:line="240" w:lineRule="auto"/>
            </w:pPr>
            <w:r w:rsidRPr="00A569D6">
              <w:t>&lt;3600</w:t>
            </w:r>
          </w:p>
        </w:tc>
        <w:tc>
          <w:tcPr>
            <w:tcW w:w="0" w:type="auto"/>
          </w:tcPr>
          <w:p w14:paraId="2C36534A" w14:textId="77777777" w:rsidR="00024A6E" w:rsidRPr="00A569D6" w:rsidRDefault="00024A6E" w:rsidP="001C115E">
            <w:pPr>
              <w:spacing w:after="0" w:line="240" w:lineRule="auto"/>
            </w:pPr>
            <w:r w:rsidRPr="00A569D6">
              <w:t>2.6</w:t>
            </w:r>
          </w:p>
        </w:tc>
      </w:tr>
      <w:tr w:rsidR="00024A6E" w:rsidRPr="00A569D6" w14:paraId="68F0C337" w14:textId="77777777" w:rsidTr="00705D7F">
        <w:trPr>
          <w:trHeight w:hRule="exact" w:val="397"/>
        </w:trPr>
        <w:tc>
          <w:tcPr>
            <w:tcW w:w="0" w:type="auto"/>
          </w:tcPr>
          <w:p w14:paraId="55D300A5" w14:textId="77777777" w:rsidR="00024A6E" w:rsidRPr="00A569D6" w:rsidRDefault="00024A6E" w:rsidP="001C115E">
            <w:pPr>
              <w:spacing w:after="0" w:line="240" w:lineRule="auto"/>
            </w:pPr>
            <w:r w:rsidRPr="00A569D6">
              <w:t>RSN3624</w:t>
            </w:r>
          </w:p>
        </w:tc>
        <w:tc>
          <w:tcPr>
            <w:tcW w:w="0" w:type="auto"/>
          </w:tcPr>
          <w:p w14:paraId="1ACCA517" w14:textId="77777777" w:rsidR="00024A6E" w:rsidRPr="00A569D6" w:rsidRDefault="00024A6E" w:rsidP="001C115E">
            <w:pPr>
              <w:spacing w:after="0" w:line="240" w:lineRule="auto"/>
            </w:pPr>
            <w:r w:rsidRPr="00A569D6">
              <w:t>&lt;2400</w:t>
            </w:r>
          </w:p>
        </w:tc>
        <w:tc>
          <w:tcPr>
            <w:tcW w:w="0" w:type="auto"/>
          </w:tcPr>
          <w:p w14:paraId="37E63374" w14:textId="77777777" w:rsidR="00024A6E" w:rsidRPr="00A569D6" w:rsidRDefault="00024A6E" w:rsidP="001C115E">
            <w:pPr>
              <w:spacing w:after="0" w:line="240" w:lineRule="auto"/>
            </w:pPr>
            <w:r w:rsidRPr="00A569D6">
              <w:t>1.7</w:t>
            </w:r>
          </w:p>
        </w:tc>
      </w:tr>
      <w:tr w:rsidR="00024A6E" w:rsidRPr="00A569D6" w14:paraId="20E8105D" w14:textId="77777777" w:rsidTr="00705D7F">
        <w:trPr>
          <w:trHeight w:hRule="exact" w:val="397"/>
        </w:trPr>
        <w:tc>
          <w:tcPr>
            <w:tcW w:w="0" w:type="auto"/>
            <w:tcBorders>
              <w:bottom w:val="single" w:sz="4" w:space="0" w:color="auto"/>
            </w:tcBorders>
          </w:tcPr>
          <w:p w14:paraId="777E048C" w14:textId="77777777" w:rsidR="00024A6E" w:rsidRPr="00A569D6" w:rsidRDefault="00024A6E" w:rsidP="001C115E">
            <w:pPr>
              <w:spacing w:after="0" w:line="240" w:lineRule="auto"/>
            </w:pPr>
            <w:r w:rsidRPr="00A569D6">
              <w:t>RSN3861</w:t>
            </w:r>
          </w:p>
        </w:tc>
        <w:tc>
          <w:tcPr>
            <w:tcW w:w="0" w:type="auto"/>
            <w:tcBorders>
              <w:bottom w:val="single" w:sz="4" w:space="0" w:color="auto"/>
            </w:tcBorders>
          </w:tcPr>
          <w:p w14:paraId="38815A75" w14:textId="77777777" w:rsidR="00024A6E" w:rsidRPr="00A569D6" w:rsidRDefault="00024A6E" w:rsidP="001C115E">
            <w:pPr>
              <w:spacing w:after="0" w:line="240" w:lineRule="auto"/>
            </w:pPr>
            <w:r w:rsidRPr="00A569D6">
              <w:t>&lt;9600</w:t>
            </w:r>
          </w:p>
        </w:tc>
        <w:tc>
          <w:tcPr>
            <w:tcW w:w="0" w:type="auto"/>
            <w:tcBorders>
              <w:bottom w:val="single" w:sz="4" w:space="0" w:color="auto"/>
            </w:tcBorders>
          </w:tcPr>
          <w:p w14:paraId="55780E0C" w14:textId="77777777" w:rsidR="00024A6E" w:rsidRPr="00A569D6" w:rsidRDefault="00024A6E" w:rsidP="001C115E">
            <w:pPr>
              <w:spacing w:after="0" w:line="240" w:lineRule="auto"/>
            </w:pPr>
            <w:r w:rsidRPr="00A569D6">
              <w:t>3.2</w:t>
            </w:r>
          </w:p>
        </w:tc>
      </w:tr>
    </w:tbl>
    <w:p w14:paraId="2B74203C" w14:textId="77777777" w:rsidR="00352599" w:rsidRDefault="00352599" w:rsidP="00ED6791"/>
    <w:p w14:paraId="1C483513" w14:textId="0E80259C" w:rsidR="00024A6E" w:rsidRDefault="003B5EEC" w:rsidP="00ED6791">
      <w:r>
        <w:t xml:space="preserve">The values in Table 2 represent upper and lower bound limits, with the true behaviour of the system to be somewhere within those boundaries.  Therefore, for this </w:t>
      </w:r>
      <w:proofErr w:type="gramStart"/>
      <w:r>
        <w:t>particular cross</w:t>
      </w:r>
      <w:proofErr w:type="gramEnd"/>
      <w:r>
        <w:t xml:space="preserve"> section </w:t>
      </w:r>
      <w:r w:rsidR="0017468F">
        <w:t>an average depth of evacuation of 2m below top of palisade wall has been considered in the simplified design approach.</w:t>
      </w:r>
      <w:r w:rsidR="00705D7F">
        <w:t xml:space="preserve"> </w:t>
      </w:r>
      <w:r w:rsidR="00E41F70">
        <w:t xml:space="preserve"> T</w:t>
      </w:r>
      <w:r w:rsidR="005C6901">
        <w:t>h</w:t>
      </w:r>
      <w:r w:rsidR="00E41F70">
        <w:t>is has been based on the overall geometry and stratigraphy at this location, as well as the existing seawall foundation level and embedment.</w:t>
      </w:r>
    </w:p>
    <w:p w14:paraId="1A36DC2D" w14:textId="43AE6DEF" w:rsidR="00F2463D" w:rsidRDefault="00036D51" w:rsidP="00036D51">
      <w:pPr>
        <w:pStyle w:val="Heading3"/>
      </w:pPr>
      <w:bookmarkStart w:id="4" w:name="_Ref34229104"/>
      <w:r>
        <w:t>Soil block movement</w:t>
      </w:r>
      <w:r w:rsidR="00A04F08">
        <w:t xml:space="preserve"> and pile lateral deflection</w:t>
      </w:r>
      <w:bookmarkEnd w:id="4"/>
    </w:p>
    <w:p w14:paraId="6FCCBC9A" w14:textId="519568C0" w:rsidR="00352599" w:rsidRDefault="00B721F0" w:rsidP="00352599">
      <w:r>
        <w:t xml:space="preserve">As discussed in Neves and Naylor (2020), </w:t>
      </w:r>
      <w:r w:rsidR="00352599">
        <w:t>a few adaptations have been proposed to the common practice design methods for shear piles resisting lateral spread.  These typically ensure displacement compatibility between the displaced soil mass and the mobilized pile resistance by:</w:t>
      </w:r>
    </w:p>
    <w:p w14:paraId="67CFB4EA" w14:textId="31AD04F8" w:rsidR="00352599" w:rsidRDefault="00352599" w:rsidP="00352599">
      <w:pPr>
        <w:pStyle w:val="ListParagraph"/>
        <w:numPr>
          <w:ilvl w:val="0"/>
          <w:numId w:val="17"/>
        </w:numPr>
      </w:pPr>
      <w:r>
        <w:t>Combining the Newmark Sliding Block theory and Limit Equilibrium analysis to predict the permanent soil displacements</w:t>
      </w:r>
      <w:r w:rsidR="00990F19">
        <w:t>, depth of failure</w:t>
      </w:r>
      <w:r>
        <w:t xml:space="preserve"> and yield accelerations of the slope;</w:t>
      </w:r>
      <w:r w:rsidR="000F0CAD">
        <w:t xml:space="preserve"> and</w:t>
      </w:r>
    </w:p>
    <w:p w14:paraId="72B1A2EE" w14:textId="6F8A5A4A" w:rsidR="00352599" w:rsidRDefault="00352599" w:rsidP="002D6236">
      <w:pPr>
        <w:pStyle w:val="ListParagraph"/>
        <w:numPr>
          <w:ilvl w:val="0"/>
          <w:numId w:val="17"/>
        </w:numPr>
      </w:pPr>
      <w:r>
        <w:t xml:space="preserve">Use of specialized piling/retaining wall software </w:t>
      </w:r>
      <w:r w:rsidR="000F0CAD">
        <w:t>(e.g. LP</w:t>
      </w:r>
      <w:r w:rsidR="000C7140">
        <w:t>ILE or equivalent</w:t>
      </w:r>
      <w:r w:rsidR="000F0CAD">
        <w:t xml:space="preserve">) </w:t>
      </w:r>
      <w:r>
        <w:t>to ensure displacement compatibility is reached.</w:t>
      </w:r>
    </w:p>
    <w:p w14:paraId="67C47C14" w14:textId="0D9F229D" w:rsidR="006506DC" w:rsidRDefault="000F0CAD" w:rsidP="000C7140">
      <w:r>
        <w:t xml:space="preserve">The proposed modifications in Neves and Naylor (2020) relate to the adaptation of the above general method to a </w:t>
      </w:r>
      <w:r w:rsidR="00352599">
        <w:t xml:space="preserve">scenario where lateral </w:t>
      </w:r>
      <w:r>
        <w:t>movement is</w:t>
      </w:r>
      <w:r w:rsidR="00352599">
        <w:t xml:space="preserve"> combined with evacuation</w:t>
      </w:r>
      <w:r>
        <w:t xml:space="preserve">. </w:t>
      </w:r>
      <w:r w:rsidR="00352599">
        <w:t xml:space="preserve"> </w:t>
      </w:r>
      <w:r>
        <w:t xml:space="preserve">The modifications include the choice of soil </w:t>
      </w:r>
      <w:r w:rsidRPr="000F0CAD">
        <w:t xml:space="preserve">springs </w:t>
      </w:r>
      <w:r>
        <w:t>along the evacuated soil depth, as well as the shape of the lateral soil movement profile</w:t>
      </w:r>
      <w:r w:rsidR="000C7140">
        <w:t xml:space="preserve"> to use in the shear pile design</w:t>
      </w:r>
      <w:r>
        <w:t xml:space="preserve">.  Instead of assuming that full lateral displacement takes place above the liquefied layer, </w:t>
      </w:r>
      <w:r>
        <w:lastRenderedPageBreak/>
        <w:t xml:space="preserve">decreasing linearly to zero </w:t>
      </w:r>
      <w:r w:rsidRPr="000F0CAD">
        <w:t>(MBIE, 2016)</w:t>
      </w:r>
      <w:r>
        <w:t xml:space="preserve">, </w:t>
      </w:r>
      <w:r w:rsidR="000C7140">
        <w:t xml:space="preserve">Neves and Naylor (2020) propose to use </w:t>
      </w:r>
      <w:r w:rsidR="00B721F0">
        <w:t xml:space="preserve">an equivalent linear variation soil block displacement profile, with </w:t>
      </w:r>
      <w:r w:rsidR="000C7140">
        <w:t xml:space="preserve">the same </w:t>
      </w:r>
      <w:r w:rsidR="00B721F0">
        <w:t>average value</w:t>
      </w:r>
      <w:r w:rsidR="000C7140">
        <w:t xml:space="preserve"> as</w:t>
      </w:r>
      <w:r w:rsidR="00B721F0">
        <w:t xml:space="preserve"> determined by the Newmark Sliding Block analysis.  </w:t>
      </w:r>
      <w:r w:rsidR="000C7140">
        <w:t xml:space="preserve">The FE analysis results have been used to validate this proposal, with </w:t>
      </w:r>
      <w:r w:rsidR="00A04F08">
        <w:t>Figure 6 s</w:t>
      </w:r>
      <w:r w:rsidR="00B721F0">
        <w:t>ummaris</w:t>
      </w:r>
      <w:r w:rsidR="000C7140">
        <w:t>ing</w:t>
      </w:r>
      <w:r w:rsidR="00B721F0">
        <w:t xml:space="preserve"> the </w:t>
      </w:r>
      <w:r w:rsidR="00A04F08">
        <w:t xml:space="preserve">soil block movement, as well as pile lateral deflection profiles, from </w:t>
      </w:r>
      <w:r w:rsidR="000C7140">
        <w:t xml:space="preserve">both simplified approaches and </w:t>
      </w:r>
      <w:r w:rsidR="00A04F08">
        <w:t>FE analysis.</w:t>
      </w:r>
    </w:p>
    <w:p w14:paraId="58EAF6AF" w14:textId="0296E874" w:rsidR="006506DC" w:rsidRDefault="006506DC" w:rsidP="00B721F0">
      <w:r>
        <w:rPr>
          <w:noProof/>
        </w:rPr>
        <w:drawing>
          <wp:inline distT="0" distB="0" distL="0" distR="0" wp14:anchorId="726049E8" wp14:editId="0ABFE8D4">
            <wp:extent cx="6002695" cy="36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2695" cy="3600000"/>
                    </a:xfrm>
                    <a:prstGeom prst="rect">
                      <a:avLst/>
                    </a:prstGeom>
                  </pic:spPr>
                </pic:pic>
              </a:graphicData>
            </a:graphic>
          </wp:inline>
        </w:drawing>
      </w:r>
    </w:p>
    <w:p w14:paraId="45A1E61D" w14:textId="77777777" w:rsidR="006506DC" w:rsidRDefault="006506DC" w:rsidP="006506DC">
      <w:pPr>
        <w:pStyle w:val="Caption"/>
      </w:pPr>
      <w:r w:rsidRPr="00AB5A91">
        <w:t xml:space="preserve">Figure </w:t>
      </w:r>
      <w:r>
        <w:t>6</w:t>
      </w:r>
      <w:r w:rsidRPr="00AB5A91">
        <w:t xml:space="preserve">: </w:t>
      </w:r>
      <w:r>
        <w:t>Soil block movement and pile lateral deflection profiles for full strength and fully liquified/cyclic softened conditions (time history analysis) versus simplified design approach from Neves and Naylor (2020).</w:t>
      </w:r>
    </w:p>
    <w:p w14:paraId="218035DF" w14:textId="18BBBFA4" w:rsidR="00B721F0" w:rsidRDefault="00A04F08" w:rsidP="00B721F0">
      <w:r>
        <w:t>Note that results for both subsoil conditions (full strength and fully liquified/cyclic softened) are reported for completeness.  Naturally, larger soil block displacements and pile deflections are reported for fully liquified/cyclic softened conditions.</w:t>
      </w:r>
      <w:r w:rsidR="00660986">
        <w:t xml:space="preserve">  The soil block displacement estimate has been measured 1.0m behind the proposed palisade wall within the PLAXIS models.</w:t>
      </w:r>
    </w:p>
    <w:p w14:paraId="513E0931" w14:textId="77777777" w:rsidR="00AD2292" w:rsidRPr="00E24D01" w:rsidRDefault="00AD2292" w:rsidP="00AD2292">
      <w:pPr>
        <w:pStyle w:val="Heading1"/>
      </w:pPr>
      <w:r w:rsidRPr="00E24D01">
        <w:t xml:space="preserve">Comparison of </w:t>
      </w:r>
      <w:r>
        <w:t xml:space="preserve">simplified </w:t>
      </w:r>
      <w:r w:rsidRPr="00E24D01">
        <w:t>design procedure versus dynamic analysis</w:t>
      </w:r>
    </w:p>
    <w:p w14:paraId="7FB92813" w14:textId="77777777" w:rsidR="001C115E" w:rsidRDefault="00A36C31" w:rsidP="008141AD">
      <w:r>
        <w:t xml:space="preserve">The plots on </w:t>
      </w:r>
      <w:r w:rsidR="00AD2292">
        <w:t>Figure</w:t>
      </w:r>
      <w:r>
        <w:t xml:space="preserve"> 6 present the outcomes of the FE dynamic analysis</w:t>
      </w:r>
      <w:r w:rsidR="00660986">
        <w:t xml:space="preserve"> as well as</w:t>
      </w:r>
      <w:r>
        <w:t xml:space="preserve"> the simplified design approach proposed by Neves and Naylor (2020).  The latter makes use of the alternative lateral soil movement profile, which </w:t>
      </w:r>
      <w:r w:rsidR="00660986">
        <w:t xml:space="preserve">varies </w:t>
      </w:r>
      <w:r>
        <w:t xml:space="preserve">linearly with depth, albeit with the same average value as the </w:t>
      </w:r>
      <w:r w:rsidRPr="00A36C31">
        <w:t xml:space="preserve">Newmark Sliding Block </w:t>
      </w:r>
      <w:r>
        <w:t>estimates</w:t>
      </w:r>
      <w:r w:rsidR="00660986">
        <w:t>.</w:t>
      </w:r>
    </w:p>
    <w:p w14:paraId="63432689" w14:textId="77777777" w:rsidR="001C115E" w:rsidRDefault="00A36C31" w:rsidP="008141AD">
      <w:r>
        <w:t xml:space="preserve">The </w:t>
      </w:r>
      <w:r w:rsidR="00AD2292">
        <w:t xml:space="preserve">comparative exercise suggests that the </w:t>
      </w:r>
      <w:r>
        <w:t xml:space="preserve">proposed </w:t>
      </w:r>
      <w:r w:rsidR="00AD2292">
        <w:t>simplified approach agrees reasonably well with dynamic analysis</w:t>
      </w:r>
      <w:r>
        <w:t xml:space="preserve"> in terms of pile deflections</w:t>
      </w:r>
      <w:r w:rsidR="008141AD">
        <w:t>, albeit forecasting higher soil block displacements.  This is thought to be the result of PLAXIS 2D not allowing for soil elements to extrude past the proposed palisade wall, which therefore limits the magnitude of displacement captured by the software.</w:t>
      </w:r>
    </w:p>
    <w:p w14:paraId="768C1B78" w14:textId="29880C0D" w:rsidR="00660986" w:rsidRDefault="008141AD" w:rsidP="008141AD">
      <w:r>
        <w:t>In terms of pile structural forces, the results of the simplified approach (Neves and Naylor, 2020) also agree well with the envelop of structural forces (shear and bending) derived in the FE modelling</w:t>
      </w:r>
      <w:r w:rsidR="006506DC">
        <w:t xml:space="preserve"> (</w:t>
      </w:r>
      <w:r>
        <w:t>Figure 7</w:t>
      </w:r>
      <w:r w:rsidR="006506DC">
        <w:t>)</w:t>
      </w:r>
      <w:r>
        <w:t>.</w:t>
      </w:r>
    </w:p>
    <w:p w14:paraId="34D30622" w14:textId="3D746CA2" w:rsidR="00660986" w:rsidRDefault="00660986" w:rsidP="008141AD">
      <w:r>
        <w:rPr>
          <w:noProof/>
        </w:rPr>
        <w:lastRenderedPageBreak/>
        <w:drawing>
          <wp:inline distT="0" distB="0" distL="0" distR="0" wp14:anchorId="36785666" wp14:editId="37B07AB7">
            <wp:extent cx="5995439" cy="3600000"/>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95439" cy="3600000"/>
                    </a:xfrm>
                    <a:prstGeom prst="rect">
                      <a:avLst/>
                    </a:prstGeom>
                  </pic:spPr>
                </pic:pic>
              </a:graphicData>
            </a:graphic>
          </wp:inline>
        </w:drawing>
      </w:r>
    </w:p>
    <w:p w14:paraId="4344B90E" w14:textId="7355D53E" w:rsidR="008141AD" w:rsidRDefault="008141AD" w:rsidP="008141AD">
      <w:pPr>
        <w:pStyle w:val="Caption"/>
      </w:pPr>
      <w:r w:rsidRPr="00AB5A91">
        <w:t xml:space="preserve">Figure </w:t>
      </w:r>
      <w:r>
        <w:t>7</w:t>
      </w:r>
      <w:r w:rsidRPr="00AB5A91">
        <w:t xml:space="preserve">: </w:t>
      </w:r>
      <w:r>
        <w:t xml:space="preserve">Shear forces and bending moments for full strength and fully liquified/cyclic softened conditions </w:t>
      </w:r>
      <w:r w:rsidR="006506DC">
        <w:t xml:space="preserve">(time history analysis) </w:t>
      </w:r>
      <w:r w:rsidR="007D0AB5">
        <w:t>versus simplified design approach from Neves and Naylor (2020)</w:t>
      </w:r>
      <w:r>
        <w:t>.</w:t>
      </w:r>
    </w:p>
    <w:p w14:paraId="0209471F" w14:textId="77777777" w:rsidR="00660986" w:rsidRDefault="00660986" w:rsidP="00660986">
      <w:r>
        <w:t>As anticipated, larger stresses are obtained in the FE analysis when considering fully liquified/cyclic softened subsoil conditions.  These are perceived as an upper bound of the forces acting on the piles and are a good match to the results of the simplified design approach, which is therefore deemed fit for design purposes.</w:t>
      </w:r>
    </w:p>
    <w:p w14:paraId="5A78E085" w14:textId="77777777" w:rsidR="008A2FE8" w:rsidRDefault="008A2FE8" w:rsidP="008A2FE8">
      <w:pPr>
        <w:pStyle w:val="Heading1"/>
      </w:pPr>
      <w:r>
        <w:t>CONCLUSION</w:t>
      </w:r>
    </w:p>
    <w:p w14:paraId="736EC9B7" w14:textId="77777777" w:rsidR="00FB3DBC" w:rsidRDefault="008A2FE8" w:rsidP="007D0AB5">
      <w:r w:rsidRPr="007D0AB5">
        <w:t>It is generally accepted that the modelling of the lateral load transfer mechanism between pile and soil, in the case of a lateral soil displacement problem (e.g. lateral spread), is best approximated by specialist pile analysis software that can capture the non-linearity of this interaction.</w:t>
      </w:r>
      <w:r w:rsidR="00A90295">
        <w:t xml:space="preserve">  However, such software is unable to also monitor the general ground and nearby structures’ response during a seismic event, which is particularly relevant when the asset to protect is located at ground and/or near surface, behind the proposed retaining system.</w:t>
      </w:r>
    </w:p>
    <w:p w14:paraId="299EC298" w14:textId="77777777" w:rsidR="00FB3DBC" w:rsidRDefault="00A90295" w:rsidP="007D0AB5">
      <w:r>
        <w:t>Therefore, the reliance on time-history modelling not only offers a greater amount of meaningful information but can also result in significant overall construction savings for large scale and/or high importance level projects.</w:t>
      </w:r>
      <w:r w:rsidR="00FB3DBC">
        <w:t xml:space="preserve">  </w:t>
      </w:r>
      <w:r w:rsidR="004D61DC">
        <w:t>Nevertheless, t</w:t>
      </w:r>
      <w:r w:rsidR="007D0AB5">
        <w:t xml:space="preserve">hese analyses are </w:t>
      </w:r>
      <w:r w:rsidR="00FB3DBC">
        <w:t xml:space="preserve">not only </w:t>
      </w:r>
      <w:r w:rsidR="007D0AB5">
        <w:t>considerably more time and resource consuming, but also require a thorough understanding of the existing ground conditions, which is very unlike to fit in with the programme and budget restrictions of a typical civil engineering project.</w:t>
      </w:r>
    </w:p>
    <w:p w14:paraId="6FBD328D" w14:textId="42FAC685" w:rsidR="007D0AB5" w:rsidRDefault="007D0AB5" w:rsidP="007D0AB5">
      <w:r>
        <w:t xml:space="preserve">For </w:t>
      </w:r>
      <w:r w:rsidR="004D61DC">
        <w:t>the latter</w:t>
      </w:r>
      <w:r>
        <w:t xml:space="preserve">, </w:t>
      </w:r>
      <w:r w:rsidR="004D61DC">
        <w:t xml:space="preserve">a suitable design </w:t>
      </w:r>
      <w:r>
        <w:t xml:space="preserve">can be </w:t>
      </w:r>
      <w:r w:rsidR="004D61DC">
        <w:t xml:space="preserve">achieved </w:t>
      </w:r>
      <w:r>
        <w:t>when using the design procedure highlighted in Neves and Naylor (2020), although a careful selection of the material parameters in LPILE (or equivalent) may be required, as the default values may not yield a satisfactory answer.</w:t>
      </w:r>
      <w:r w:rsidR="004D61DC">
        <w:t xml:space="preserve">  For large scale and/or high importance level projects, the simplified procedure should still be used to help calibrate and validate the time-history analyses.</w:t>
      </w:r>
    </w:p>
    <w:p w14:paraId="70D291CB" w14:textId="77777777" w:rsidR="008A2FE8" w:rsidRDefault="008A2FE8" w:rsidP="008A2FE8">
      <w:pPr>
        <w:pStyle w:val="Heading1"/>
      </w:pPr>
      <w:r>
        <w:lastRenderedPageBreak/>
        <w:t>ACKNOWLEDGMENTS</w:t>
      </w:r>
    </w:p>
    <w:p w14:paraId="59301CB2" w14:textId="77777777" w:rsidR="008A2FE8" w:rsidRDefault="008A2FE8" w:rsidP="008A2FE8">
      <w:r>
        <w:t>The authors are grateful to the assets’ owner, Auckland Transport, for their permission to prepare this paper.</w:t>
      </w:r>
    </w:p>
    <w:p w14:paraId="25C9AD8F" w14:textId="77777777" w:rsidR="008A2FE8" w:rsidRDefault="008A2FE8" w:rsidP="008A2FE8">
      <w:pPr>
        <w:pStyle w:val="Heading1"/>
      </w:pPr>
      <w:r>
        <w:t>REFERENCES</w:t>
      </w:r>
    </w:p>
    <w:p w14:paraId="24019343" w14:textId="2A3DC04B" w:rsidR="00675CE1" w:rsidRDefault="00675CE1" w:rsidP="008A2FE8">
      <w:pPr>
        <w:pStyle w:val="Referencetext"/>
        <w:spacing w:line="-220" w:lineRule="auto"/>
        <w:ind w:left="284" w:hanging="284"/>
      </w:pPr>
      <w:r>
        <w:t xml:space="preserve">Auckland Council. 2020. Auckland Council </w:t>
      </w:r>
      <w:proofErr w:type="spellStart"/>
      <w:r>
        <w:t>GeoMaps</w:t>
      </w:r>
      <w:proofErr w:type="spellEnd"/>
      <w:r>
        <w:t xml:space="preserve">. Available at </w:t>
      </w:r>
      <w:r w:rsidRPr="00675CE1">
        <w:t>https://geomapspublic.aucklandcouncil.govt.nz/</w:t>
      </w:r>
      <w:r>
        <w:t xml:space="preserve"> </w:t>
      </w:r>
      <w:r w:rsidRPr="00675CE1">
        <w:t>viewer/index.html</w:t>
      </w:r>
      <w:r>
        <w:t>. Accessed on 16/04/2020.</w:t>
      </w:r>
    </w:p>
    <w:p w14:paraId="0C390653" w14:textId="07FD85C5" w:rsidR="00940374" w:rsidRPr="00940374" w:rsidRDefault="00940374" w:rsidP="008A2FE8">
      <w:pPr>
        <w:pStyle w:val="Referencetext"/>
        <w:spacing w:line="-220" w:lineRule="auto"/>
        <w:ind w:left="284" w:hanging="284"/>
      </w:pPr>
      <w:r>
        <w:t xml:space="preserve">Idris, I. and Boulanger, R. 2008. </w:t>
      </w:r>
      <w:r w:rsidRPr="00660986">
        <w:t>Soil Liquefaction During Earthquakes</w:t>
      </w:r>
      <w:r w:rsidRPr="00940374">
        <w:rPr>
          <w:i/>
          <w:iCs/>
        </w:rPr>
        <w:t>. Monograph Series, No. MNO-12</w:t>
      </w:r>
      <w:r>
        <w:t xml:space="preserve">, </w:t>
      </w:r>
      <w:r w:rsidR="00660986">
        <w:t xml:space="preserve">Oakland, USA: </w:t>
      </w:r>
      <w:r w:rsidRPr="00940374">
        <w:t>Earthquake Engineering Research Institute</w:t>
      </w:r>
      <w:r>
        <w:t>.</w:t>
      </w:r>
    </w:p>
    <w:p w14:paraId="2F4D75F4" w14:textId="13272F81" w:rsidR="008A2FE8" w:rsidRDefault="008A2FE8" w:rsidP="008A2FE8">
      <w:pPr>
        <w:pStyle w:val="Referencetext"/>
        <w:spacing w:line="-220" w:lineRule="auto"/>
        <w:ind w:left="284" w:hanging="284"/>
      </w:pPr>
      <w:r w:rsidRPr="007D0AB5">
        <w:t>Neves, M.</w:t>
      </w:r>
      <w:r w:rsidR="006C5E34" w:rsidRPr="007D0AB5">
        <w:t xml:space="preserve"> and </w:t>
      </w:r>
      <w:r w:rsidRPr="007D0AB5">
        <w:t xml:space="preserve">Naylor, A. 2020. </w:t>
      </w:r>
      <w:r w:rsidR="006C5E34" w:rsidRPr="007D0AB5">
        <w:t>Simplified design procedures for shear piles subject to liquefaction induced lateral spread with evacuation</w:t>
      </w:r>
      <w:r w:rsidRPr="007D0AB5">
        <w:t xml:space="preserve">. </w:t>
      </w:r>
      <w:r w:rsidRPr="007D0AB5">
        <w:rPr>
          <w:i/>
        </w:rPr>
        <w:t xml:space="preserve">Proceedings of the New Zealand </w:t>
      </w:r>
      <w:r w:rsidR="006C5E34" w:rsidRPr="007D0AB5">
        <w:rPr>
          <w:i/>
        </w:rPr>
        <w:t>Society of Earthquake Engineering (NZSEE) Annual Conference</w:t>
      </w:r>
      <w:r w:rsidRPr="007D0AB5">
        <w:t xml:space="preserve">. </w:t>
      </w:r>
      <w:r w:rsidR="006C5E34" w:rsidRPr="007D0AB5">
        <w:t>Wellington</w:t>
      </w:r>
      <w:r w:rsidRPr="007D0AB5">
        <w:t>, New Zealand: NZ</w:t>
      </w:r>
      <w:r w:rsidR="006C5E34" w:rsidRPr="007D0AB5">
        <w:t>SEE</w:t>
      </w:r>
      <w:r w:rsidRPr="007D0AB5">
        <w:t>.</w:t>
      </w:r>
    </w:p>
    <w:p w14:paraId="3DF476F5" w14:textId="77777777" w:rsidR="00F0760C" w:rsidRDefault="00F0760C" w:rsidP="00F0760C">
      <w:pPr>
        <w:pStyle w:val="Referencetext"/>
        <w:spacing w:line="-220" w:lineRule="auto"/>
        <w:ind w:left="284" w:hanging="284"/>
      </w:pPr>
      <w:r w:rsidRPr="007D0AB5">
        <w:t>Neves, M.</w:t>
      </w:r>
      <w:r>
        <w:t>, Yang D, Child M.</w:t>
      </w:r>
      <w:r w:rsidRPr="007D0AB5">
        <w:t xml:space="preserve"> and </w:t>
      </w:r>
      <w:r>
        <w:t>Lai</w:t>
      </w:r>
      <w:r w:rsidRPr="007D0AB5">
        <w:t xml:space="preserve">, </w:t>
      </w:r>
      <w:r>
        <w:t xml:space="preserve">T. 2020. </w:t>
      </w:r>
      <w:r w:rsidRPr="00F0760C">
        <w:t>Time-history validation of pseudo-static design procedure for jet grout shear walls subject to liquefaction induced lateral spread</w:t>
      </w:r>
      <w:r>
        <w:t xml:space="preserve">. </w:t>
      </w:r>
      <w:r w:rsidRPr="007D0AB5">
        <w:rPr>
          <w:i/>
        </w:rPr>
        <w:t xml:space="preserve">Proceedings of the New Zealand </w:t>
      </w:r>
      <w:r>
        <w:rPr>
          <w:i/>
        </w:rPr>
        <w:t xml:space="preserve">Geotechnical </w:t>
      </w:r>
      <w:r w:rsidRPr="007D0AB5">
        <w:rPr>
          <w:i/>
        </w:rPr>
        <w:t xml:space="preserve">Society </w:t>
      </w:r>
      <w:r>
        <w:rPr>
          <w:i/>
        </w:rPr>
        <w:t>(NZGS</w:t>
      </w:r>
      <w:r w:rsidRPr="007D0AB5">
        <w:rPr>
          <w:i/>
        </w:rPr>
        <w:t xml:space="preserve">) </w:t>
      </w:r>
      <w:r>
        <w:rPr>
          <w:i/>
        </w:rPr>
        <w:t>2020 Symposium</w:t>
      </w:r>
      <w:r w:rsidRPr="007D0AB5">
        <w:t xml:space="preserve">. </w:t>
      </w:r>
      <w:r>
        <w:t>Dunedin</w:t>
      </w:r>
      <w:r w:rsidRPr="007D0AB5">
        <w:t>, New Zealand: NZ</w:t>
      </w:r>
      <w:r>
        <w:t>GS</w:t>
      </w:r>
      <w:r w:rsidRPr="007D0AB5">
        <w:t>.</w:t>
      </w:r>
    </w:p>
    <w:p w14:paraId="49B2F119" w14:textId="77777777" w:rsidR="008A2FE8" w:rsidRPr="007D0AB5" w:rsidRDefault="008A2FE8" w:rsidP="008A2FE8">
      <w:pPr>
        <w:pStyle w:val="Referencetext"/>
        <w:spacing w:line="-220" w:lineRule="auto"/>
        <w:ind w:left="284" w:hanging="284"/>
      </w:pPr>
      <w:r w:rsidRPr="007D0AB5">
        <w:t xml:space="preserve">New Zealand Transport Agency (NZTA).2016. </w:t>
      </w:r>
      <w:r w:rsidRPr="007D0AB5">
        <w:rPr>
          <w:i/>
        </w:rPr>
        <w:t>Bridge manual - manual number: SP/M/022 3rd Edition</w:t>
      </w:r>
      <w:r w:rsidRPr="007D0AB5">
        <w:t>, Wellington, New Zealand: NZ Transport Agency.</w:t>
      </w:r>
    </w:p>
    <w:p w14:paraId="760AFD0B" w14:textId="70436076" w:rsidR="00940374" w:rsidRPr="00660986" w:rsidRDefault="00940374" w:rsidP="008A2FE8">
      <w:pPr>
        <w:pStyle w:val="Referencetext"/>
        <w:spacing w:line="-220" w:lineRule="auto"/>
        <w:ind w:left="284" w:hanging="284"/>
      </w:pPr>
      <w:r>
        <w:t>Robertson</w:t>
      </w:r>
      <w:r w:rsidR="00660986">
        <w:t xml:space="preserve">, P. </w:t>
      </w:r>
      <w:r>
        <w:t xml:space="preserve">and </w:t>
      </w:r>
      <w:proofErr w:type="spellStart"/>
      <w:r>
        <w:t>Wride</w:t>
      </w:r>
      <w:proofErr w:type="spellEnd"/>
      <w:r w:rsidR="00660986">
        <w:t xml:space="preserve">, C. 1998. Evaluating cyclic liquefaction potential using the cone penetration test. </w:t>
      </w:r>
      <w:r w:rsidR="00660986" w:rsidRPr="00660986">
        <w:rPr>
          <w:i/>
          <w:iCs/>
        </w:rPr>
        <w:t>Canadian Geotechnical Journal, Volume 35, pp.442-449</w:t>
      </w:r>
      <w:r w:rsidR="00660986">
        <w:t>, Ottawa: Canada: C</w:t>
      </w:r>
      <w:r w:rsidR="00660986" w:rsidRPr="00660986">
        <w:t>anadian Science Publishing</w:t>
      </w:r>
    </w:p>
    <w:p w14:paraId="2B4DD3C1" w14:textId="62997141" w:rsidR="008A2FE8" w:rsidRDefault="008A2FE8" w:rsidP="00A32E2D">
      <w:pPr>
        <w:pStyle w:val="Referencetext"/>
        <w:spacing w:line="-220" w:lineRule="auto"/>
        <w:ind w:left="284" w:hanging="284"/>
      </w:pPr>
    </w:p>
    <w:sectPr w:rsidR="008A2FE8" w:rsidSect="00595FBB">
      <w:headerReference w:type="even" r:id="rId21"/>
      <w:headerReference w:type="default" r:id="rId22"/>
      <w:footerReference w:type="even" r:id="rId23"/>
      <w:footerReference w:type="default" r:id="rId24"/>
      <w:headerReference w:type="first" r:id="rId25"/>
      <w:footerReference w:type="first" r:id="rId26"/>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BE479" w14:textId="77777777" w:rsidR="005C0CAC" w:rsidRDefault="005C0CAC" w:rsidP="007448A2">
      <w:r>
        <w:separator/>
      </w:r>
    </w:p>
  </w:endnote>
  <w:endnote w:type="continuationSeparator" w:id="0">
    <w:p w14:paraId="793441C5" w14:textId="77777777" w:rsidR="005C0CAC" w:rsidRDefault="005C0CAC"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426">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C91" w14:textId="77777777" w:rsidR="0007318E" w:rsidRDefault="0007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513979"/>
      <w:docPartObj>
        <w:docPartGallery w:val="Page Numbers (Bottom of Page)"/>
        <w:docPartUnique/>
      </w:docPartObj>
    </w:sdtPr>
    <w:sdtEndPr>
      <w:rPr>
        <w:noProof/>
      </w:rPr>
    </w:sdtEndPr>
    <w:sdtContent>
      <w:p w14:paraId="348DD5B1" w14:textId="322F76EE" w:rsidR="007E7D39" w:rsidRDefault="007E7D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78113" w14:textId="12A6A092" w:rsidR="007E7D39" w:rsidRPr="00327C02" w:rsidRDefault="007E7D39" w:rsidP="00327C02">
    <w:pPr>
      <w:spacing w:before="60"/>
      <w:rPr>
        <w:b/>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440493"/>
      <w:docPartObj>
        <w:docPartGallery w:val="Page Numbers (Bottom of Page)"/>
        <w:docPartUnique/>
      </w:docPartObj>
    </w:sdtPr>
    <w:sdtEndPr>
      <w:rPr>
        <w:noProof/>
      </w:rPr>
    </w:sdtEndPr>
    <w:sdtContent>
      <w:p w14:paraId="7423AFB3" w14:textId="772B8463" w:rsidR="007E7D39" w:rsidRDefault="007E7D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04193" w14:textId="77777777" w:rsidR="007E7D39" w:rsidRDefault="007E7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DD5DE" w14:textId="77777777" w:rsidR="005C0CAC" w:rsidRPr="00DD227B" w:rsidRDefault="005C0CAC" w:rsidP="007448A2"/>
  </w:footnote>
  <w:footnote w:type="continuationSeparator" w:id="0">
    <w:p w14:paraId="6B5230B6" w14:textId="77777777" w:rsidR="005C0CAC" w:rsidRDefault="005C0CAC"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11FC" w14:textId="77777777" w:rsidR="0007318E" w:rsidRDefault="0007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BAD5" w14:textId="77777777" w:rsidR="0007318E" w:rsidRDefault="00073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53C8C" w14:textId="77777777" w:rsidR="007E7D39" w:rsidRDefault="007E7D39" w:rsidP="001301C2">
    <w:pPr>
      <w:spacing w:before="1200" w:after="0"/>
      <w:jc w:val="center"/>
    </w:pPr>
    <w:r>
      <w:rPr>
        <w:noProof/>
      </w:rPr>
      <w:drawing>
        <wp:inline distT="0" distB="0" distL="0" distR="0" wp14:anchorId="18787491" wp14:editId="77DB8DB2">
          <wp:extent cx="4481832" cy="131000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
                  <a:stretch>
                    <a:fillRect/>
                  </a:stretch>
                </pic:blipFill>
                <pic:spPr bwMode="auto">
                  <a:xfrm>
                    <a:off x="0" y="0"/>
                    <a:ext cx="4481832" cy="1310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146"/>
    <w:multiLevelType w:val="hybridMultilevel"/>
    <w:tmpl w:val="41CEE6D4"/>
    <w:lvl w:ilvl="0" w:tplc="14090017">
      <w:start w:val="1"/>
      <w:numFmt w:val="lowerLetter"/>
      <w:lvlText w:val="%1)"/>
      <w:lvlJc w:val="left"/>
      <w:pPr>
        <w:ind w:left="8724" w:hanging="360"/>
      </w:pPr>
    </w:lvl>
    <w:lvl w:ilvl="1" w:tplc="14090019" w:tentative="1">
      <w:start w:val="1"/>
      <w:numFmt w:val="lowerLetter"/>
      <w:lvlText w:val="%2."/>
      <w:lvlJc w:val="left"/>
      <w:pPr>
        <w:ind w:left="9444" w:hanging="360"/>
      </w:pPr>
    </w:lvl>
    <w:lvl w:ilvl="2" w:tplc="1409001B" w:tentative="1">
      <w:start w:val="1"/>
      <w:numFmt w:val="lowerRoman"/>
      <w:lvlText w:val="%3."/>
      <w:lvlJc w:val="right"/>
      <w:pPr>
        <w:ind w:left="10164" w:hanging="180"/>
      </w:pPr>
    </w:lvl>
    <w:lvl w:ilvl="3" w:tplc="1409000F" w:tentative="1">
      <w:start w:val="1"/>
      <w:numFmt w:val="decimal"/>
      <w:lvlText w:val="%4."/>
      <w:lvlJc w:val="left"/>
      <w:pPr>
        <w:ind w:left="10884" w:hanging="360"/>
      </w:pPr>
    </w:lvl>
    <w:lvl w:ilvl="4" w:tplc="14090019" w:tentative="1">
      <w:start w:val="1"/>
      <w:numFmt w:val="lowerLetter"/>
      <w:lvlText w:val="%5."/>
      <w:lvlJc w:val="left"/>
      <w:pPr>
        <w:ind w:left="11604" w:hanging="360"/>
      </w:pPr>
    </w:lvl>
    <w:lvl w:ilvl="5" w:tplc="1409001B" w:tentative="1">
      <w:start w:val="1"/>
      <w:numFmt w:val="lowerRoman"/>
      <w:lvlText w:val="%6."/>
      <w:lvlJc w:val="right"/>
      <w:pPr>
        <w:ind w:left="12324" w:hanging="180"/>
      </w:pPr>
    </w:lvl>
    <w:lvl w:ilvl="6" w:tplc="1409000F" w:tentative="1">
      <w:start w:val="1"/>
      <w:numFmt w:val="decimal"/>
      <w:lvlText w:val="%7."/>
      <w:lvlJc w:val="left"/>
      <w:pPr>
        <w:ind w:left="13044" w:hanging="360"/>
      </w:pPr>
    </w:lvl>
    <w:lvl w:ilvl="7" w:tplc="14090019" w:tentative="1">
      <w:start w:val="1"/>
      <w:numFmt w:val="lowerLetter"/>
      <w:lvlText w:val="%8."/>
      <w:lvlJc w:val="left"/>
      <w:pPr>
        <w:ind w:left="13764" w:hanging="360"/>
      </w:pPr>
    </w:lvl>
    <w:lvl w:ilvl="8" w:tplc="1409001B" w:tentative="1">
      <w:start w:val="1"/>
      <w:numFmt w:val="lowerRoman"/>
      <w:lvlText w:val="%9."/>
      <w:lvlJc w:val="right"/>
      <w:pPr>
        <w:ind w:left="14484" w:hanging="180"/>
      </w:pPr>
    </w:lvl>
  </w:abstractNum>
  <w:abstractNum w:abstractNumId="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CA4B69"/>
    <w:multiLevelType w:val="hybridMultilevel"/>
    <w:tmpl w:val="B8589B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496D41"/>
    <w:multiLevelType w:val="hybridMultilevel"/>
    <w:tmpl w:val="41CEE6D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D06060"/>
    <w:multiLevelType w:val="multilevel"/>
    <w:tmpl w:val="66BEDCA0"/>
    <w:styleLink w:val="TTListLetter"/>
    <w:lvl w:ilvl="0">
      <w:start w:val="1"/>
      <w:numFmt w:val="lowerLetter"/>
      <w:pStyle w:val="ListLetter"/>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6" w15:restartNumberingAfterBreak="0">
    <w:nsid w:val="2CF60B96"/>
    <w:multiLevelType w:val="hybridMultilevel"/>
    <w:tmpl w:val="B37C4100"/>
    <w:lvl w:ilvl="0" w:tplc="E9EC8AB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E584BA4"/>
    <w:multiLevelType w:val="hybridMultilevel"/>
    <w:tmpl w:val="0D0CE7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1607A90"/>
    <w:multiLevelType w:val="hybridMultilevel"/>
    <w:tmpl w:val="8A64A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AA04363"/>
    <w:multiLevelType w:val="hybridMultilevel"/>
    <w:tmpl w:val="AF9C8E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23145B"/>
    <w:multiLevelType w:val="hybridMultilevel"/>
    <w:tmpl w:val="41CEE6D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4C15DA8"/>
    <w:multiLevelType w:val="hybridMultilevel"/>
    <w:tmpl w:val="5A5605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D241305"/>
    <w:multiLevelType w:val="multilevel"/>
    <w:tmpl w:val="66BEDCA0"/>
    <w:numStyleLink w:val="TTListLetter"/>
  </w:abstractNum>
  <w:abstractNum w:abstractNumId="16"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6"/>
  </w:num>
  <w:num w:numId="2">
    <w:abstractNumId w:val="9"/>
  </w:num>
  <w:num w:numId="3">
    <w:abstractNumId w:val="12"/>
  </w:num>
  <w:num w:numId="4">
    <w:abstractNumId w:val="7"/>
  </w:num>
  <w:num w:numId="5">
    <w:abstractNumId w:val="1"/>
  </w:num>
  <w:num w:numId="6">
    <w:abstractNumId w:val="3"/>
  </w:num>
  <w:num w:numId="7">
    <w:abstractNumId w:val="8"/>
  </w:num>
  <w:num w:numId="8">
    <w:abstractNumId w:val="4"/>
  </w:num>
  <w:num w:numId="9">
    <w:abstractNumId w:val="14"/>
  </w:num>
  <w:num w:numId="10">
    <w:abstractNumId w:val="0"/>
  </w:num>
  <w:num w:numId="11">
    <w:abstractNumId w:val="13"/>
  </w:num>
  <w:num w:numId="12">
    <w:abstractNumId w:val="6"/>
  </w:num>
  <w:num w:numId="13">
    <w:abstractNumId w:val="5"/>
  </w:num>
  <w:num w:numId="14">
    <w:abstractNumId w:val="15"/>
  </w:num>
  <w:num w:numId="15">
    <w:abstractNumId w:val="11"/>
  </w:num>
  <w:num w:numId="16">
    <w:abstractNumId w:val="2"/>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41A9"/>
    <w:rsid w:val="00007AD9"/>
    <w:rsid w:val="00016F79"/>
    <w:rsid w:val="00024A6E"/>
    <w:rsid w:val="00036D51"/>
    <w:rsid w:val="000430EC"/>
    <w:rsid w:val="00045FC9"/>
    <w:rsid w:val="000512B2"/>
    <w:rsid w:val="00057922"/>
    <w:rsid w:val="00057BCC"/>
    <w:rsid w:val="0006034C"/>
    <w:rsid w:val="00070BF8"/>
    <w:rsid w:val="00072D4F"/>
    <w:rsid w:val="0007318E"/>
    <w:rsid w:val="000847E8"/>
    <w:rsid w:val="000B639E"/>
    <w:rsid w:val="000C541B"/>
    <w:rsid w:val="000C65E5"/>
    <w:rsid w:val="000C7140"/>
    <w:rsid w:val="000D2C42"/>
    <w:rsid w:val="000E7FBF"/>
    <w:rsid w:val="000F0CAD"/>
    <w:rsid w:val="000F3CFE"/>
    <w:rsid w:val="000F5837"/>
    <w:rsid w:val="00103885"/>
    <w:rsid w:val="00110671"/>
    <w:rsid w:val="00116E9E"/>
    <w:rsid w:val="001227E0"/>
    <w:rsid w:val="00122ECB"/>
    <w:rsid w:val="00123384"/>
    <w:rsid w:val="001240CB"/>
    <w:rsid w:val="001301C2"/>
    <w:rsid w:val="00130F33"/>
    <w:rsid w:val="00134315"/>
    <w:rsid w:val="00144085"/>
    <w:rsid w:val="00144642"/>
    <w:rsid w:val="00152264"/>
    <w:rsid w:val="00153FD0"/>
    <w:rsid w:val="00155FF4"/>
    <w:rsid w:val="00163BBE"/>
    <w:rsid w:val="0017468F"/>
    <w:rsid w:val="0017535C"/>
    <w:rsid w:val="00193072"/>
    <w:rsid w:val="001A1585"/>
    <w:rsid w:val="001A1AE9"/>
    <w:rsid w:val="001B6118"/>
    <w:rsid w:val="001B7D0D"/>
    <w:rsid w:val="001C0D14"/>
    <w:rsid w:val="001C115E"/>
    <w:rsid w:val="001C1AEF"/>
    <w:rsid w:val="001C43D0"/>
    <w:rsid w:val="001C7AE0"/>
    <w:rsid w:val="001E2F21"/>
    <w:rsid w:val="001E5A51"/>
    <w:rsid w:val="002014AD"/>
    <w:rsid w:val="0021095F"/>
    <w:rsid w:val="002130EF"/>
    <w:rsid w:val="002210EE"/>
    <w:rsid w:val="00233958"/>
    <w:rsid w:val="002344EF"/>
    <w:rsid w:val="00236426"/>
    <w:rsid w:val="00254346"/>
    <w:rsid w:val="0026061A"/>
    <w:rsid w:val="002638E5"/>
    <w:rsid w:val="00271FD0"/>
    <w:rsid w:val="002778D6"/>
    <w:rsid w:val="00287511"/>
    <w:rsid w:val="002920D7"/>
    <w:rsid w:val="002932D4"/>
    <w:rsid w:val="002A42C2"/>
    <w:rsid w:val="002A60E0"/>
    <w:rsid w:val="002B096D"/>
    <w:rsid w:val="002B596B"/>
    <w:rsid w:val="002B5DBD"/>
    <w:rsid w:val="002C08C6"/>
    <w:rsid w:val="002C63D7"/>
    <w:rsid w:val="002D2C5F"/>
    <w:rsid w:val="002D2ED0"/>
    <w:rsid w:val="002E4DAB"/>
    <w:rsid w:val="002F09B0"/>
    <w:rsid w:val="00305351"/>
    <w:rsid w:val="00306D2A"/>
    <w:rsid w:val="00327C02"/>
    <w:rsid w:val="00332826"/>
    <w:rsid w:val="003338D1"/>
    <w:rsid w:val="0033519C"/>
    <w:rsid w:val="00342871"/>
    <w:rsid w:val="00350E71"/>
    <w:rsid w:val="00352599"/>
    <w:rsid w:val="00366FCA"/>
    <w:rsid w:val="00370460"/>
    <w:rsid w:val="00370CF0"/>
    <w:rsid w:val="00375CA6"/>
    <w:rsid w:val="0038138D"/>
    <w:rsid w:val="00390611"/>
    <w:rsid w:val="003A11A5"/>
    <w:rsid w:val="003A3798"/>
    <w:rsid w:val="003A5AE3"/>
    <w:rsid w:val="003B0CE2"/>
    <w:rsid w:val="003B1BFC"/>
    <w:rsid w:val="003B304D"/>
    <w:rsid w:val="003B4158"/>
    <w:rsid w:val="003B50CC"/>
    <w:rsid w:val="003B5EEC"/>
    <w:rsid w:val="003B6E10"/>
    <w:rsid w:val="003C4BDD"/>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0080"/>
    <w:rsid w:val="004C76A1"/>
    <w:rsid w:val="004D61DC"/>
    <w:rsid w:val="004E0076"/>
    <w:rsid w:val="004E2CB1"/>
    <w:rsid w:val="004E3235"/>
    <w:rsid w:val="004F151D"/>
    <w:rsid w:val="004F2863"/>
    <w:rsid w:val="0050109B"/>
    <w:rsid w:val="00510FB8"/>
    <w:rsid w:val="00511343"/>
    <w:rsid w:val="00536659"/>
    <w:rsid w:val="005402CA"/>
    <w:rsid w:val="0055121E"/>
    <w:rsid w:val="00554CF8"/>
    <w:rsid w:val="00556ABC"/>
    <w:rsid w:val="00565760"/>
    <w:rsid w:val="005738B6"/>
    <w:rsid w:val="00573B0D"/>
    <w:rsid w:val="00584060"/>
    <w:rsid w:val="00585400"/>
    <w:rsid w:val="00595FBB"/>
    <w:rsid w:val="005A010D"/>
    <w:rsid w:val="005A53C6"/>
    <w:rsid w:val="005B07B6"/>
    <w:rsid w:val="005C0706"/>
    <w:rsid w:val="005C0CAC"/>
    <w:rsid w:val="005C289E"/>
    <w:rsid w:val="005C6901"/>
    <w:rsid w:val="005F242D"/>
    <w:rsid w:val="00601C79"/>
    <w:rsid w:val="0060427F"/>
    <w:rsid w:val="00605DDB"/>
    <w:rsid w:val="00607509"/>
    <w:rsid w:val="00610619"/>
    <w:rsid w:val="00617DCF"/>
    <w:rsid w:val="00620378"/>
    <w:rsid w:val="00620B8E"/>
    <w:rsid w:val="00620F06"/>
    <w:rsid w:val="0063194C"/>
    <w:rsid w:val="00635B0D"/>
    <w:rsid w:val="00635D8E"/>
    <w:rsid w:val="00636F45"/>
    <w:rsid w:val="006506DC"/>
    <w:rsid w:val="00650EC7"/>
    <w:rsid w:val="00655176"/>
    <w:rsid w:val="00657DC0"/>
    <w:rsid w:val="00660986"/>
    <w:rsid w:val="006611A6"/>
    <w:rsid w:val="006616CF"/>
    <w:rsid w:val="00674A59"/>
    <w:rsid w:val="00675CE1"/>
    <w:rsid w:val="0069116D"/>
    <w:rsid w:val="0069193B"/>
    <w:rsid w:val="006B7FE8"/>
    <w:rsid w:val="006C5E34"/>
    <w:rsid w:val="006E1E70"/>
    <w:rsid w:val="006E45CE"/>
    <w:rsid w:val="006E4F75"/>
    <w:rsid w:val="006E511D"/>
    <w:rsid w:val="006E6CB6"/>
    <w:rsid w:val="00704D31"/>
    <w:rsid w:val="00705D7F"/>
    <w:rsid w:val="007106A9"/>
    <w:rsid w:val="0072660B"/>
    <w:rsid w:val="00732E69"/>
    <w:rsid w:val="00740CE9"/>
    <w:rsid w:val="0074233D"/>
    <w:rsid w:val="0074425B"/>
    <w:rsid w:val="007448A2"/>
    <w:rsid w:val="00745197"/>
    <w:rsid w:val="00753E8B"/>
    <w:rsid w:val="007664C0"/>
    <w:rsid w:val="00767102"/>
    <w:rsid w:val="00773F28"/>
    <w:rsid w:val="00774ED3"/>
    <w:rsid w:val="00786479"/>
    <w:rsid w:val="007A2F65"/>
    <w:rsid w:val="007B0BEF"/>
    <w:rsid w:val="007B1612"/>
    <w:rsid w:val="007B6069"/>
    <w:rsid w:val="007B6860"/>
    <w:rsid w:val="007C0754"/>
    <w:rsid w:val="007D0AB5"/>
    <w:rsid w:val="007E0B07"/>
    <w:rsid w:val="007E11E5"/>
    <w:rsid w:val="007E7C80"/>
    <w:rsid w:val="007E7D39"/>
    <w:rsid w:val="00801078"/>
    <w:rsid w:val="0080708C"/>
    <w:rsid w:val="008141AD"/>
    <w:rsid w:val="008222BA"/>
    <w:rsid w:val="00823FB0"/>
    <w:rsid w:val="0083240A"/>
    <w:rsid w:val="00834806"/>
    <w:rsid w:val="0083506D"/>
    <w:rsid w:val="0084585B"/>
    <w:rsid w:val="00855C76"/>
    <w:rsid w:val="00855F00"/>
    <w:rsid w:val="00874B60"/>
    <w:rsid w:val="00876313"/>
    <w:rsid w:val="00877CC2"/>
    <w:rsid w:val="00882176"/>
    <w:rsid w:val="00886035"/>
    <w:rsid w:val="00887853"/>
    <w:rsid w:val="00892375"/>
    <w:rsid w:val="00896082"/>
    <w:rsid w:val="008A2016"/>
    <w:rsid w:val="008A2FE8"/>
    <w:rsid w:val="008A4B67"/>
    <w:rsid w:val="008B5D43"/>
    <w:rsid w:val="008C5248"/>
    <w:rsid w:val="008D0BA6"/>
    <w:rsid w:val="008D3348"/>
    <w:rsid w:val="008D4449"/>
    <w:rsid w:val="008E10F5"/>
    <w:rsid w:val="008F11E2"/>
    <w:rsid w:val="008F2C8C"/>
    <w:rsid w:val="008F62D8"/>
    <w:rsid w:val="008F6E06"/>
    <w:rsid w:val="00904790"/>
    <w:rsid w:val="00910DAF"/>
    <w:rsid w:val="00913A65"/>
    <w:rsid w:val="00930E51"/>
    <w:rsid w:val="009328BB"/>
    <w:rsid w:val="00940374"/>
    <w:rsid w:val="009430F5"/>
    <w:rsid w:val="0094364A"/>
    <w:rsid w:val="00970DDD"/>
    <w:rsid w:val="00980C5C"/>
    <w:rsid w:val="0098354C"/>
    <w:rsid w:val="00987D5B"/>
    <w:rsid w:val="00990F19"/>
    <w:rsid w:val="009A5D4F"/>
    <w:rsid w:val="009A65EC"/>
    <w:rsid w:val="009B1AA3"/>
    <w:rsid w:val="009B5990"/>
    <w:rsid w:val="009C20B2"/>
    <w:rsid w:val="009C2CA4"/>
    <w:rsid w:val="009D0796"/>
    <w:rsid w:val="009D5E6F"/>
    <w:rsid w:val="009E0C2E"/>
    <w:rsid w:val="00A04F08"/>
    <w:rsid w:val="00A06829"/>
    <w:rsid w:val="00A1329A"/>
    <w:rsid w:val="00A163FE"/>
    <w:rsid w:val="00A215B0"/>
    <w:rsid w:val="00A235DF"/>
    <w:rsid w:val="00A23F5B"/>
    <w:rsid w:val="00A27363"/>
    <w:rsid w:val="00A32E2D"/>
    <w:rsid w:val="00A36C31"/>
    <w:rsid w:val="00A36CAE"/>
    <w:rsid w:val="00A4365C"/>
    <w:rsid w:val="00A447C7"/>
    <w:rsid w:val="00A47011"/>
    <w:rsid w:val="00A53D6A"/>
    <w:rsid w:val="00A56394"/>
    <w:rsid w:val="00A650DD"/>
    <w:rsid w:val="00A764DC"/>
    <w:rsid w:val="00A81A08"/>
    <w:rsid w:val="00A8634F"/>
    <w:rsid w:val="00A90295"/>
    <w:rsid w:val="00A95E02"/>
    <w:rsid w:val="00AA229D"/>
    <w:rsid w:val="00AB5A91"/>
    <w:rsid w:val="00AC1090"/>
    <w:rsid w:val="00AC1BD9"/>
    <w:rsid w:val="00AC53D2"/>
    <w:rsid w:val="00AD2292"/>
    <w:rsid w:val="00AD567B"/>
    <w:rsid w:val="00AD5EFB"/>
    <w:rsid w:val="00AF7D79"/>
    <w:rsid w:val="00B10542"/>
    <w:rsid w:val="00B11E4A"/>
    <w:rsid w:val="00B148AF"/>
    <w:rsid w:val="00B1670C"/>
    <w:rsid w:val="00B2046D"/>
    <w:rsid w:val="00B41CF3"/>
    <w:rsid w:val="00B52956"/>
    <w:rsid w:val="00B57350"/>
    <w:rsid w:val="00B71F3C"/>
    <w:rsid w:val="00B721F0"/>
    <w:rsid w:val="00B75163"/>
    <w:rsid w:val="00B7781E"/>
    <w:rsid w:val="00B96F15"/>
    <w:rsid w:val="00B974A7"/>
    <w:rsid w:val="00BA2855"/>
    <w:rsid w:val="00BA739F"/>
    <w:rsid w:val="00BB0D94"/>
    <w:rsid w:val="00BC3B59"/>
    <w:rsid w:val="00BD03DB"/>
    <w:rsid w:val="00BD5429"/>
    <w:rsid w:val="00BD5BB4"/>
    <w:rsid w:val="00BE1C0E"/>
    <w:rsid w:val="00BE5027"/>
    <w:rsid w:val="00BE5EDC"/>
    <w:rsid w:val="00BE618D"/>
    <w:rsid w:val="00BE668B"/>
    <w:rsid w:val="00BE6BB3"/>
    <w:rsid w:val="00BF5254"/>
    <w:rsid w:val="00C030E0"/>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2A1"/>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10948"/>
    <w:rsid w:val="00D214C6"/>
    <w:rsid w:val="00D44921"/>
    <w:rsid w:val="00D542BB"/>
    <w:rsid w:val="00D54618"/>
    <w:rsid w:val="00D61D34"/>
    <w:rsid w:val="00D6437F"/>
    <w:rsid w:val="00D6456E"/>
    <w:rsid w:val="00D7078A"/>
    <w:rsid w:val="00D74C23"/>
    <w:rsid w:val="00D80B60"/>
    <w:rsid w:val="00D80E79"/>
    <w:rsid w:val="00D80EAB"/>
    <w:rsid w:val="00D841CD"/>
    <w:rsid w:val="00D91505"/>
    <w:rsid w:val="00D923BE"/>
    <w:rsid w:val="00D9358C"/>
    <w:rsid w:val="00DB2CC1"/>
    <w:rsid w:val="00DB546C"/>
    <w:rsid w:val="00DC3C39"/>
    <w:rsid w:val="00DC4252"/>
    <w:rsid w:val="00DC78EA"/>
    <w:rsid w:val="00DC7F98"/>
    <w:rsid w:val="00DD227B"/>
    <w:rsid w:val="00DD2EFE"/>
    <w:rsid w:val="00DD39CB"/>
    <w:rsid w:val="00DD5A7F"/>
    <w:rsid w:val="00DE464A"/>
    <w:rsid w:val="00DE7406"/>
    <w:rsid w:val="00DF6019"/>
    <w:rsid w:val="00E00F57"/>
    <w:rsid w:val="00E1051E"/>
    <w:rsid w:val="00E138D1"/>
    <w:rsid w:val="00E21D71"/>
    <w:rsid w:val="00E35E24"/>
    <w:rsid w:val="00E365B7"/>
    <w:rsid w:val="00E377DF"/>
    <w:rsid w:val="00E3787B"/>
    <w:rsid w:val="00E4059B"/>
    <w:rsid w:val="00E41F70"/>
    <w:rsid w:val="00E6122D"/>
    <w:rsid w:val="00E72E2C"/>
    <w:rsid w:val="00E77C98"/>
    <w:rsid w:val="00E835F6"/>
    <w:rsid w:val="00E838AF"/>
    <w:rsid w:val="00E92C02"/>
    <w:rsid w:val="00E933C8"/>
    <w:rsid w:val="00EC5EEF"/>
    <w:rsid w:val="00ED363D"/>
    <w:rsid w:val="00ED36A6"/>
    <w:rsid w:val="00ED43FC"/>
    <w:rsid w:val="00ED5CAF"/>
    <w:rsid w:val="00ED6791"/>
    <w:rsid w:val="00ED6B8E"/>
    <w:rsid w:val="00EF685A"/>
    <w:rsid w:val="00F00A98"/>
    <w:rsid w:val="00F03C39"/>
    <w:rsid w:val="00F03CCC"/>
    <w:rsid w:val="00F0760C"/>
    <w:rsid w:val="00F15FF4"/>
    <w:rsid w:val="00F16F1A"/>
    <w:rsid w:val="00F2463D"/>
    <w:rsid w:val="00F24812"/>
    <w:rsid w:val="00F308A8"/>
    <w:rsid w:val="00F34346"/>
    <w:rsid w:val="00F35511"/>
    <w:rsid w:val="00F36662"/>
    <w:rsid w:val="00F45029"/>
    <w:rsid w:val="00F45820"/>
    <w:rsid w:val="00F46E90"/>
    <w:rsid w:val="00F527D7"/>
    <w:rsid w:val="00F5516B"/>
    <w:rsid w:val="00F71BE2"/>
    <w:rsid w:val="00F7410B"/>
    <w:rsid w:val="00F8237A"/>
    <w:rsid w:val="00F8698B"/>
    <w:rsid w:val="00FA43D1"/>
    <w:rsid w:val="00FB3DBC"/>
    <w:rsid w:val="00FB43EF"/>
    <w:rsid w:val="00FB5AC9"/>
    <w:rsid w:val="00FC4A76"/>
    <w:rsid w:val="00FC5C57"/>
    <w:rsid w:val="00FD232A"/>
    <w:rsid w:val="00FD2A78"/>
    <w:rsid w:val="00FE1EA6"/>
    <w:rsid w:val="00FE274A"/>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164390"/>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3"/>
      </w:numPr>
      <w:tabs>
        <w:tab w:val="clear" w:pos="357"/>
        <w:tab w:val="num" w:pos="360"/>
      </w:tabs>
      <w:spacing w:after="60"/>
    </w:pPr>
  </w:style>
  <w:style w:type="paragraph" w:styleId="ListParagraph">
    <w:name w:val="List Paragraph"/>
    <w:basedOn w:val="Normal"/>
    <w:uiPriority w:val="34"/>
    <w:qFormat/>
    <w:rsid w:val="00970DDD"/>
    <w:pPr>
      <w:numPr>
        <w:numId w:val="1"/>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iPriority w:val="99"/>
    <w:unhideWhenUsed/>
    <w:rsid w:val="00636F45"/>
    <w:pPr>
      <w:tabs>
        <w:tab w:val="center" w:pos="4513"/>
        <w:tab w:val="right" w:pos="9026"/>
      </w:tabs>
      <w:spacing w:after="0" w:line="240" w:lineRule="auto"/>
    </w:pPr>
  </w:style>
  <w:style w:type="paragraph" w:styleId="Caption">
    <w:name w:val="caption"/>
    <w:basedOn w:val="Normal"/>
    <w:next w:val="Normal"/>
    <w:uiPriority w:val="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22"/>
      <w:szCs w:val="20"/>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4"/>
      </w:numPr>
      <w:spacing w:after="60"/>
    </w:pPr>
  </w:style>
  <w:style w:type="paragraph" w:styleId="ListBullet2">
    <w:name w:val="List Bullet 2"/>
    <w:basedOn w:val="Normal"/>
    <w:uiPriority w:val="99"/>
    <w:rsid w:val="00E377DF"/>
    <w:pPr>
      <w:numPr>
        <w:ilvl w:val="1"/>
        <w:numId w:val="3"/>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uiPriority w:val="99"/>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4"/>
      </w:numPr>
      <w:spacing w:after="60"/>
      <w:contextualSpacing/>
    </w:pPr>
  </w:style>
  <w:style w:type="paragraph" w:customStyle="1" w:styleId="BodyNoindent">
    <w:name w:val="BodyNoindent"/>
    <w:basedOn w:val="Normal"/>
    <w:next w:val="Normal"/>
    <w:qFormat/>
    <w:rsid w:val="00DC3C39"/>
    <w:pPr>
      <w:suppressAutoHyphens w:val="0"/>
      <w:autoSpaceDE/>
      <w:autoSpaceDN/>
      <w:adjustRightInd/>
      <w:spacing w:after="0" w:line="240" w:lineRule="auto"/>
      <w:jc w:val="both"/>
      <w:textAlignment w:val="auto"/>
    </w:pPr>
    <w:rPr>
      <w:rFonts w:ascii="Times New Roman" w:eastAsiaTheme="minorHAnsi" w:hAnsi="Times New Roman" w:cstheme="minorBidi"/>
      <w:color w:val="auto"/>
      <w:sz w:val="20"/>
      <w:szCs w:val="22"/>
      <w:lang w:val="en-US" w:eastAsia="en-US"/>
    </w:rPr>
  </w:style>
  <w:style w:type="paragraph" w:customStyle="1" w:styleId="TableCH">
    <w:name w:val="Table CH"/>
    <w:basedOn w:val="Normal"/>
    <w:uiPriority w:val="4"/>
    <w:qFormat/>
    <w:rsid w:val="007E7D39"/>
    <w:pPr>
      <w:suppressAutoHyphens w:val="0"/>
      <w:autoSpaceDE/>
      <w:autoSpaceDN/>
      <w:adjustRightInd/>
      <w:spacing w:before="60" w:after="60" w:line="240" w:lineRule="auto"/>
      <w:textAlignment w:val="auto"/>
    </w:pPr>
    <w:rPr>
      <w:rFonts w:ascii="Calibri" w:hAnsi="Calibri" w:cs="Arial"/>
      <w:b/>
      <w:color w:val="auto"/>
      <w:sz w:val="20"/>
      <w:lang w:eastAsia="en-US"/>
    </w:rPr>
  </w:style>
  <w:style w:type="paragraph" w:customStyle="1" w:styleId="TableTN">
    <w:name w:val="Table TN"/>
    <w:basedOn w:val="Normal"/>
    <w:next w:val="Normal"/>
    <w:uiPriority w:val="4"/>
    <w:qFormat/>
    <w:rsid w:val="007E7D39"/>
    <w:pPr>
      <w:suppressAutoHyphens w:val="0"/>
      <w:autoSpaceDE/>
      <w:autoSpaceDN/>
      <w:adjustRightInd/>
      <w:spacing w:after="40" w:line="240" w:lineRule="auto"/>
      <w:textAlignment w:val="auto"/>
    </w:pPr>
    <w:rPr>
      <w:rFonts w:ascii="Calibri" w:hAnsi="Calibri" w:cs="Arial"/>
      <w:color w:val="auto"/>
      <w:sz w:val="18"/>
      <w:lang w:eastAsia="en-US"/>
    </w:rPr>
  </w:style>
  <w:style w:type="paragraph" w:customStyle="1" w:styleId="TableTT">
    <w:name w:val="Table TT"/>
    <w:basedOn w:val="Normal"/>
    <w:uiPriority w:val="4"/>
    <w:qFormat/>
    <w:rsid w:val="007E7D39"/>
    <w:pPr>
      <w:suppressAutoHyphens w:val="0"/>
      <w:autoSpaceDE/>
      <w:autoSpaceDN/>
      <w:adjustRightInd/>
      <w:spacing w:before="40" w:after="40" w:line="240" w:lineRule="auto"/>
      <w:textAlignment w:val="auto"/>
    </w:pPr>
    <w:rPr>
      <w:rFonts w:ascii="Calibri" w:hAnsi="Calibri" w:cs="Arial"/>
      <w:color w:val="auto"/>
      <w:sz w:val="20"/>
      <w:lang w:eastAsia="en-US"/>
    </w:rPr>
  </w:style>
  <w:style w:type="paragraph" w:customStyle="1" w:styleId="Graphic">
    <w:name w:val="Graphic"/>
    <w:qFormat/>
    <w:rsid w:val="00AD2292"/>
    <w:pPr>
      <w:spacing w:after="0" w:line="240" w:lineRule="auto"/>
      <w:jc w:val="center"/>
    </w:pPr>
    <w:rPr>
      <w:rFonts w:eastAsiaTheme="minorHAnsi"/>
      <w:color w:val="auto"/>
      <w:sz w:val="20"/>
      <w:szCs w:val="22"/>
      <w:lang w:val="en-US" w:eastAsia="en-US"/>
    </w:rPr>
  </w:style>
  <w:style w:type="paragraph" w:customStyle="1" w:styleId="ListLetter">
    <w:name w:val="List Letter"/>
    <w:basedOn w:val="ListBullet"/>
    <w:uiPriority w:val="2"/>
    <w:qFormat/>
    <w:rsid w:val="00AD2292"/>
    <w:pPr>
      <w:numPr>
        <w:numId w:val="14"/>
      </w:numPr>
      <w:tabs>
        <w:tab w:val="clear" w:pos="567"/>
        <w:tab w:val="num" w:pos="360"/>
      </w:tabs>
      <w:suppressAutoHyphens w:val="0"/>
      <w:autoSpaceDE/>
      <w:autoSpaceDN/>
      <w:adjustRightInd/>
      <w:spacing w:before="60" w:line="240" w:lineRule="auto"/>
      <w:textAlignment w:val="auto"/>
    </w:pPr>
    <w:rPr>
      <w:rFonts w:ascii="Calibri" w:hAnsi="Calibri" w:cs="Arial"/>
      <w:color w:val="auto"/>
      <w:lang w:eastAsia="en-US"/>
    </w:rPr>
  </w:style>
  <w:style w:type="numbering" w:customStyle="1" w:styleId="TTListLetter">
    <w:name w:val="TT List Letter"/>
    <w:uiPriority w:val="99"/>
    <w:rsid w:val="00AD2292"/>
    <w:pPr>
      <w:numPr>
        <w:numId w:val="13"/>
      </w:numPr>
    </w:pPr>
  </w:style>
  <w:style w:type="character" w:styleId="CommentReference">
    <w:name w:val="annotation reference"/>
    <w:basedOn w:val="DefaultParagraphFont"/>
    <w:uiPriority w:val="99"/>
    <w:semiHidden/>
    <w:unhideWhenUsed/>
    <w:rsid w:val="00FE274A"/>
    <w:rPr>
      <w:sz w:val="16"/>
      <w:szCs w:val="16"/>
    </w:rPr>
  </w:style>
  <w:style w:type="paragraph" w:styleId="CommentText">
    <w:name w:val="annotation text"/>
    <w:basedOn w:val="Normal"/>
    <w:link w:val="CommentTextChar"/>
    <w:uiPriority w:val="99"/>
    <w:semiHidden/>
    <w:unhideWhenUsed/>
    <w:rsid w:val="00FE274A"/>
    <w:pPr>
      <w:spacing w:line="240" w:lineRule="auto"/>
    </w:pPr>
    <w:rPr>
      <w:sz w:val="20"/>
    </w:rPr>
  </w:style>
  <w:style w:type="character" w:customStyle="1" w:styleId="CommentTextChar">
    <w:name w:val="Comment Text Char"/>
    <w:basedOn w:val="DefaultParagraphFont"/>
    <w:link w:val="CommentText"/>
    <w:uiPriority w:val="99"/>
    <w:semiHidden/>
    <w:rsid w:val="00FE274A"/>
    <w:rPr>
      <w:rFonts w:asciiTheme="minorHAnsi" w:hAnsiTheme="minorHAnsi" w:cstheme="minorHAnsi"/>
      <w:color w:val="000000"/>
      <w:sz w:val="20"/>
      <w:szCs w:val="20"/>
    </w:rPr>
  </w:style>
  <w:style w:type="paragraph" w:styleId="CommentSubject">
    <w:name w:val="annotation subject"/>
    <w:basedOn w:val="CommentText"/>
    <w:next w:val="CommentText"/>
    <w:link w:val="CommentSubjectChar"/>
    <w:uiPriority w:val="99"/>
    <w:semiHidden/>
    <w:unhideWhenUsed/>
    <w:rsid w:val="00FE274A"/>
    <w:rPr>
      <w:b/>
      <w:bCs/>
    </w:rPr>
  </w:style>
  <w:style w:type="character" w:customStyle="1" w:styleId="CommentSubjectChar">
    <w:name w:val="Comment Subject Char"/>
    <w:basedOn w:val="CommentTextChar"/>
    <w:link w:val="CommentSubject"/>
    <w:uiPriority w:val="99"/>
    <w:semiHidden/>
    <w:rsid w:val="00FE274A"/>
    <w:rPr>
      <w:rFonts w:asciiTheme="minorHAnsi" w:hAnsiTheme="minorHAnsi" w:cstheme="minorHAnsi"/>
      <w:b/>
      <w:bCs/>
      <w:color w:val="000000"/>
      <w:sz w:val="20"/>
      <w:szCs w:val="20"/>
    </w:rPr>
  </w:style>
  <w:style w:type="character" w:styleId="UnresolvedMention">
    <w:name w:val="Unresolved Mention"/>
    <w:basedOn w:val="DefaultParagraphFont"/>
    <w:uiPriority w:val="99"/>
    <w:semiHidden/>
    <w:unhideWhenUsed/>
    <w:rsid w:val="0067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3" ma:contentTypeDescription="Create a new document." ma:contentTypeScope="" ma:versionID="73267aeb790fbec49e1b6c880b4a757e">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7b643a2f8171297531b007a29a450926"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84562-6151-48B3-99DF-BAD0C61E598C}"/>
</file>

<file path=customXml/itemProps2.xml><?xml version="1.0" encoding="utf-8"?>
<ds:datastoreItem xmlns:ds="http://schemas.openxmlformats.org/officeDocument/2006/customXml" ds:itemID="{051EEB15-C08D-425D-94E2-AF0CE650A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5D83F6-5E8C-4E93-9218-B3D282A8CF42}">
  <ds:schemaRefs>
    <ds:schemaRef ds:uri="http://schemas.openxmlformats.org/officeDocument/2006/bibliography"/>
  </ds:schemaRefs>
</ds:datastoreItem>
</file>

<file path=customXml/itemProps4.xml><?xml version="1.0" encoding="utf-8"?>
<ds:datastoreItem xmlns:ds="http://schemas.openxmlformats.org/officeDocument/2006/customXml" ds:itemID="{DE168CE7-0477-4BF1-A5DC-06B5B9E94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3084</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Kerry South</cp:lastModifiedBy>
  <cp:revision>10</cp:revision>
  <cp:lastPrinted>2002-08-05T05:43:00Z</cp:lastPrinted>
  <dcterms:created xsi:type="dcterms:W3CDTF">2020-07-06T22:27:00Z</dcterms:created>
  <dcterms:modified xsi:type="dcterms:W3CDTF">2021-01-13T03:28:00Z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5407800</vt:r8>
  </property>
</Properties>
</file>